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spacing w:before="0" w:after="0" w:line="240" w:lineRule="auto"/>
        <w:rPr>
          <w:rFonts w:ascii="宋体" w:hAnsi="宋体" w:eastAsia="宋体"/>
          <w:sz w:val="32"/>
          <w:szCs w:val="32"/>
        </w:rPr>
      </w:pPr>
      <w:bookmarkStart w:id="0" w:name="_Toc85795387"/>
      <w:r>
        <w:rPr>
          <w:rFonts w:hint="eastAsia" w:ascii="宋体" w:hAnsi="宋体" w:eastAsia="宋体"/>
          <w:sz w:val="32"/>
          <w:szCs w:val="32"/>
        </w:rPr>
        <w:t>项目概况</w:t>
      </w:r>
      <w:bookmarkEnd w:id="0"/>
    </w:p>
    <w:p>
      <w:pPr>
        <w:spacing w:line="360" w:lineRule="auto"/>
        <w:ind w:firstLine="560" w:firstLineChars="200"/>
        <w:rPr>
          <w:sz w:val="28"/>
          <w:szCs w:val="28"/>
        </w:rPr>
      </w:pPr>
      <w:r>
        <w:rPr>
          <w:rFonts w:hint="eastAsia"/>
          <w:sz w:val="28"/>
          <w:szCs w:val="28"/>
          <w:lang w:val="en-US" w:eastAsia="zh-CN"/>
        </w:rPr>
        <w:t>心理健康教育中心团体辅导室</w:t>
      </w:r>
      <w:r>
        <w:rPr>
          <w:rFonts w:hint="eastAsia"/>
          <w:sz w:val="28"/>
          <w:szCs w:val="28"/>
        </w:rPr>
        <w:t>是交流和学习的重要场所</w:t>
      </w:r>
      <w:r>
        <w:rPr>
          <w:rFonts w:hint="eastAsia"/>
          <w:sz w:val="28"/>
          <w:szCs w:val="28"/>
          <w:lang w:eastAsia="zh-CN"/>
        </w:rPr>
        <w:t>，</w:t>
      </w:r>
      <w:r>
        <w:rPr>
          <w:rFonts w:hint="eastAsia"/>
          <w:sz w:val="28"/>
          <w:szCs w:val="28"/>
        </w:rPr>
        <w:t>为提升空间使用条件，提高信息化水平，对空间显示、声音、视频会议、综合管理进行升级建设</w:t>
      </w:r>
      <w:r>
        <w:rPr>
          <w:rFonts w:hint="eastAsia"/>
          <w:sz w:val="28"/>
          <w:szCs w:val="28"/>
          <w:lang w:eastAsia="zh-CN"/>
        </w:rPr>
        <w:t>，</w:t>
      </w:r>
      <w:r>
        <w:rPr>
          <w:rFonts w:hint="eastAsia"/>
          <w:sz w:val="28"/>
          <w:szCs w:val="28"/>
        </w:rPr>
        <w:t>实现适用于面向学术交流、</w:t>
      </w:r>
      <w:r>
        <w:rPr>
          <w:rFonts w:hint="eastAsia"/>
          <w:sz w:val="28"/>
          <w:szCs w:val="28"/>
          <w:lang w:val="en-US" w:eastAsia="zh-CN"/>
        </w:rPr>
        <w:t>活动开展</w:t>
      </w:r>
      <w:r>
        <w:rPr>
          <w:rFonts w:hint="eastAsia"/>
          <w:sz w:val="28"/>
          <w:szCs w:val="28"/>
        </w:rPr>
        <w:t>、学习研讨、师生互动等场景为一体的现代化智慧空间。</w:t>
      </w:r>
    </w:p>
    <w:p>
      <w:pPr>
        <w:pStyle w:val="2"/>
        <w:numPr>
          <w:ilvl w:val="0"/>
          <w:numId w:val="1"/>
        </w:numPr>
        <w:spacing w:before="0" w:after="0" w:line="240" w:lineRule="auto"/>
        <w:rPr>
          <w:rFonts w:ascii="宋体" w:hAnsi="宋体" w:eastAsia="宋体"/>
          <w:sz w:val="32"/>
          <w:szCs w:val="32"/>
        </w:rPr>
      </w:pPr>
      <w:r>
        <w:rPr>
          <w:rFonts w:hint="eastAsia" w:ascii="宋体" w:hAnsi="宋体" w:eastAsia="宋体"/>
          <w:sz w:val="32"/>
          <w:szCs w:val="32"/>
        </w:rPr>
        <w:t>项目需求清单</w:t>
      </w:r>
    </w:p>
    <w:tbl>
      <w:tblPr>
        <w:tblStyle w:val="10"/>
        <w:tblW w:w="8789" w:type="dxa"/>
        <w:tblInd w:w="-147" w:type="dxa"/>
        <w:tblLayout w:type="autofit"/>
        <w:tblCellMar>
          <w:top w:w="0" w:type="dxa"/>
          <w:left w:w="108" w:type="dxa"/>
          <w:bottom w:w="0" w:type="dxa"/>
          <w:right w:w="108" w:type="dxa"/>
        </w:tblCellMar>
      </w:tblPr>
      <w:tblGrid>
        <w:gridCol w:w="709"/>
        <w:gridCol w:w="1985"/>
        <w:gridCol w:w="4678"/>
        <w:gridCol w:w="708"/>
        <w:gridCol w:w="709"/>
      </w:tblGrid>
      <w:tr>
        <w:tblPrEx>
          <w:tblCellMar>
            <w:top w:w="0" w:type="dxa"/>
            <w:left w:w="108" w:type="dxa"/>
            <w:bottom w:w="0" w:type="dxa"/>
            <w:right w:w="108" w:type="dxa"/>
          </w:tblCellMar>
        </w:tblPrEx>
        <w:trPr>
          <w:trHeight w:val="32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000000"/>
                <w:sz w:val="21"/>
                <w:szCs w:val="21"/>
              </w:rPr>
            </w:pPr>
            <w:r>
              <w:rPr>
                <w:rFonts w:hint="eastAsia"/>
                <w:b/>
                <w:bCs/>
                <w:color w:val="000000"/>
                <w:sz w:val="21"/>
                <w:szCs w:val="21"/>
              </w:rPr>
              <w:t>序号</w:t>
            </w:r>
          </w:p>
        </w:tc>
        <w:tc>
          <w:tcPr>
            <w:tcW w:w="1985"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1"/>
                <w:szCs w:val="21"/>
              </w:rPr>
            </w:pPr>
            <w:r>
              <w:rPr>
                <w:rFonts w:hint="eastAsia"/>
                <w:b/>
                <w:bCs/>
                <w:color w:val="000000"/>
                <w:sz w:val="21"/>
                <w:szCs w:val="21"/>
              </w:rPr>
              <w:t>设备名称</w:t>
            </w:r>
          </w:p>
        </w:tc>
        <w:tc>
          <w:tcPr>
            <w:tcW w:w="4678"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1"/>
                <w:szCs w:val="21"/>
              </w:rPr>
            </w:pPr>
            <w:r>
              <w:rPr>
                <w:rFonts w:hint="eastAsia"/>
                <w:b/>
                <w:bCs/>
                <w:color w:val="000000"/>
                <w:sz w:val="21"/>
                <w:szCs w:val="21"/>
              </w:rPr>
              <w:t>规格要求</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1"/>
                <w:szCs w:val="21"/>
              </w:rPr>
            </w:pPr>
            <w:r>
              <w:rPr>
                <w:rFonts w:hint="eastAsia"/>
                <w:b/>
                <w:bCs/>
                <w:color w:val="000000"/>
                <w:sz w:val="21"/>
                <w:szCs w:val="21"/>
              </w:rPr>
              <w:t>单位</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1"/>
                <w:szCs w:val="21"/>
              </w:rPr>
            </w:pPr>
            <w:r>
              <w:rPr>
                <w:rFonts w:hint="eastAsia"/>
                <w:b/>
                <w:bCs/>
                <w:color w:val="000000"/>
                <w:sz w:val="21"/>
                <w:szCs w:val="21"/>
              </w:rPr>
              <w:t>数量</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LED显示屏</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1、</w:t>
            </w:r>
            <w:bookmarkStart w:id="5" w:name="_GoBack"/>
            <w:r>
              <w:rPr>
                <w:color w:val="000000"/>
                <w:sz w:val="21"/>
                <w:szCs w:val="21"/>
              </w:rPr>
              <w:t>像素间距(mm)要求：≤1.57mm；</w:t>
            </w:r>
          </w:p>
          <w:p>
            <w:pPr>
              <w:rPr>
                <w:color w:val="000000"/>
                <w:sz w:val="21"/>
                <w:szCs w:val="21"/>
              </w:rPr>
            </w:pPr>
            <w:r>
              <w:rPr>
                <w:color w:val="000000"/>
                <w:sz w:val="21"/>
                <w:szCs w:val="21"/>
              </w:rPr>
              <w:t>2、尺寸：≥3.6 X 2.025m，分辨率：≥2688 X 1296</w:t>
            </w:r>
            <w:bookmarkEnd w:id="5"/>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7.29</w:t>
            </w:r>
          </w:p>
        </w:tc>
      </w:tr>
      <w:tr>
        <w:tblPrEx>
          <w:tblCellMar>
            <w:top w:w="0" w:type="dxa"/>
            <w:left w:w="108" w:type="dxa"/>
            <w:bottom w:w="0" w:type="dxa"/>
            <w:right w:w="108" w:type="dxa"/>
          </w:tblCellMar>
        </w:tblPrEx>
        <w:trPr>
          <w:trHeight w:val="21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2</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大屏控制系统</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接收卡32个，发送卡4台</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套</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color w:val="000000"/>
                <w:sz w:val="21"/>
                <w:szCs w:val="21"/>
              </w:rPr>
              <w:t>3</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视频处理器</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DL-DVI接口接入视频分辨</w:t>
            </w:r>
            <w:r>
              <w:rPr>
                <w:rFonts w:hint="eastAsia"/>
                <w:color w:val="000000"/>
                <w:sz w:val="21"/>
                <w:szCs w:val="21"/>
                <w:lang w:val="en-US" w:eastAsia="zh-CN"/>
              </w:rPr>
              <w:t xml:space="preserve"> </w:t>
            </w:r>
            <w:r>
              <w:rPr>
                <w:color w:val="000000"/>
                <w:sz w:val="21"/>
                <w:szCs w:val="21"/>
              </w:rPr>
              <w:t>率最大支持3840*2160</w:t>
            </w:r>
          </w:p>
          <w:p>
            <w:pPr>
              <w:rPr>
                <w:color w:val="000000"/>
                <w:sz w:val="21"/>
                <w:szCs w:val="21"/>
              </w:rPr>
            </w:pPr>
            <w:r>
              <w:rPr>
                <w:color w:val="000000"/>
                <w:sz w:val="21"/>
                <w:szCs w:val="21"/>
              </w:rPr>
              <w:t>多路视频进行多窗口显示，窗口大小可调节，可进行画面漫游、缩放、叠加、裁剪、局部放大和偏移校正操作</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4</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无线投屏器</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4K输出，双2K画面混投</w:t>
            </w:r>
          </w:p>
          <w:p>
            <w:pPr>
              <w:rPr>
                <w:color w:val="000000"/>
                <w:sz w:val="21"/>
                <w:szCs w:val="21"/>
              </w:rPr>
            </w:pPr>
            <w:r>
              <w:rPr>
                <w:color w:val="000000"/>
                <w:sz w:val="21"/>
                <w:szCs w:val="21"/>
              </w:rPr>
              <w:t>支持windows、安卓、苹果投屏</w:t>
            </w:r>
          </w:p>
          <w:p>
            <w:pPr>
              <w:rPr>
                <w:color w:val="000000"/>
                <w:sz w:val="21"/>
                <w:szCs w:val="21"/>
              </w:rPr>
            </w:pPr>
            <w:r>
              <w:rPr>
                <w:color w:val="000000"/>
                <w:sz w:val="21"/>
                <w:szCs w:val="21"/>
              </w:rPr>
              <w:t>自定义壁纸</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套</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5</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配电柜</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10KW含PLC控制系统</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6</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调音台</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12通道调音台</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7</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二分频全频音箱</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倒相式低频辐射的二分频全频系统</w:t>
            </w:r>
          </w:p>
          <w:p>
            <w:pPr>
              <w:rPr>
                <w:color w:val="000000"/>
                <w:sz w:val="21"/>
                <w:szCs w:val="21"/>
              </w:rPr>
            </w:pPr>
            <w:r>
              <w:rPr>
                <w:color w:val="000000"/>
                <w:sz w:val="21"/>
                <w:szCs w:val="21"/>
              </w:rPr>
              <w:t>单元结构LF:8"×1，HF:1"×1</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只</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2</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8</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数字前级音频处理器</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2输入6输出</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9</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自动反馈抑制器</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64/128超取样24-bit A/D和D/A转换，高解析度</w:t>
            </w:r>
          </w:p>
          <w:p>
            <w:pPr>
              <w:rPr>
                <w:color w:val="000000"/>
                <w:sz w:val="21"/>
                <w:szCs w:val="21"/>
              </w:rPr>
            </w:pPr>
            <w:r>
              <w:rPr>
                <w:color w:val="000000"/>
                <w:sz w:val="21"/>
                <w:szCs w:val="21"/>
              </w:rPr>
              <w:t>每个声道12个频道反馈自动搜寻，智能处理</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0</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电源时序器</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八路大功率电源输出，万能插座</w:t>
            </w:r>
          </w:p>
          <w:p>
            <w:pPr>
              <w:rPr>
                <w:color w:val="000000"/>
                <w:sz w:val="21"/>
                <w:szCs w:val="21"/>
              </w:rPr>
            </w:pPr>
            <w:r>
              <w:rPr>
                <w:color w:val="000000"/>
                <w:sz w:val="21"/>
                <w:szCs w:val="21"/>
              </w:rPr>
              <w:t>单路最大输出为30A，总输入电流容量45A</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2</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1</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专业立体声功放</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双声道立体声专业功率放大器</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2</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真分集无线话筒</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一拖二手持式话筒</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2</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3</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中控主机</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可编程控制平台</w:t>
            </w:r>
            <w:r>
              <w:rPr>
                <w:rFonts w:hint="eastAsia"/>
                <w:color w:val="000000"/>
                <w:sz w:val="21"/>
                <w:szCs w:val="21"/>
              </w:rPr>
              <w:t>，</w:t>
            </w:r>
            <w:r>
              <w:rPr>
                <w:color w:val="000000"/>
                <w:sz w:val="21"/>
                <w:szCs w:val="21"/>
              </w:rPr>
              <w:t>插卡式架构</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4</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电源控制器</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内部有8个IO接口</w:t>
            </w:r>
            <w:r>
              <w:rPr>
                <w:rFonts w:hint="eastAsia"/>
                <w:color w:val="000000"/>
                <w:sz w:val="21"/>
                <w:szCs w:val="21"/>
              </w:rPr>
              <w:t>、</w:t>
            </w:r>
            <w:r>
              <w:rPr>
                <w:color w:val="000000"/>
                <w:sz w:val="21"/>
                <w:szCs w:val="21"/>
              </w:rPr>
              <w:t>8个按键开关</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5</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8键墙面面板</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86插座式墙上面板</w:t>
            </w:r>
            <w:r>
              <w:rPr>
                <w:rFonts w:hint="eastAsia"/>
                <w:color w:val="000000"/>
                <w:sz w:val="21"/>
                <w:szCs w:val="21"/>
              </w:rPr>
              <w:t>、</w:t>
            </w:r>
            <w:r>
              <w:rPr>
                <w:color w:val="000000"/>
                <w:sz w:val="21"/>
                <w:szCs w:val="21"/>
              </w:rPr>
              <w:t>支持8个按键场景</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6</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无线平板电脑</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256G</w:t>
            </w:r>
            <w:r>
              <w:rPr>
                <w:rFonts w:hint="eastAsia"/>
                <w:color w:val="000000"/>
                <w:sz w:val="21"/>
                <w:szCs w:val="21"/>
              </w:rPr>
              <w:t>、wifi</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7</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视频会议主机</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i7/16G/256G/SSD+1TB/23.8寸显示器</w:t>
            </w:r>
          </w:p>
          <w:p>
            <w:pPr>
              <w:rPr>
                <w:color w:val="000000"/>
                <w:sz w:val="21"/>
                <w:szCs w:val="21"/>
              </w:rPr>
            </w:pPr>
            <w:r>
              <w:rPr>
                <w:color w:val="000000"/>
                <w:sz w:val="21"/>
                <w:szCs w:val="21"/>
              </w:rPr>
              <w:t>无线键盘鼠标</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套</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8</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视频会议摄像机</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有效像素16：9 210万有效象素</w:t>
            </w:r>
          </w:p>
          <w:p>
            <w:pPr>
              <w:rPr>
                <w:color w:val="000000"/>
                <w:sz w:val="21"/>
                <w:szCs w:val="21"/>
              </w:rPr>
            </w:pPr>
            <w:r>
              <w:rPr>
                <w:color w:val="000000"/>
                <w:sz w:val="21"/>
                <w:szCs w:val="21"/>
              </w:rPr>
              <w:t>12倍光学</w:t>
            </w:r>
            <w:r>
              <w:rPr>
                <w:rFonts w:hint="eastAsia"/>
                <w:color w:val="000000"/>
                <w:sz w:val="21"/>
                <w:szCs w:val="21"/>
              </w:rPr>
              <w:t>变焦</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2</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9</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网络机柜</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42U网络机柜</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2</w:t>
            </w:r>
            <w:r>
              <w:rPr>
                <w:color w:val="000000"/>
                <w:sz w:val="21"/>
                <w:szCs w:val="21"/>
              </w:rPr>
              <w:t>0</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无线路由器</w:t>
            </w:r>
          </w:p>
        </w:tc>
        <w:tc>
          <w:tcPr>
            <w:tcW w:w="4678" w:type="dxa"/>
            <w:tcBorders>
              <w:top w:val="single" w:color="auto" w:sz="4" w:space="0"/>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W</w:t>
            </w:r>
            <w:r>
              <w:rPr>
                <w:rFonts w:hint="eastAsia"/>
                <w:color w:val="000000"/>
                <w:sz w:val="21"/>
                <w:szCs w:val="21"/>
              </w:rPr>
              <w:t>ifi</w:t>
            </w:r>
            <w:r>
              <w:rPr>
                <w:color w:val="000000"/>
                <w:sz w:val="21"/>
                <w:szCs w:val="21"/>
              </w:rPr>
              <w:t>6</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 xml:space="preserve">1 </w:t>
            </w:r>
          </w:p>
        </w:tc>
      </w:tr>
    </w:tbl>
    <w:p/>
    <w:p>
      <w:pPr>
        <w:pStyle w:val="2"/>
        <w:numPr>
          <w:ilvl w:val="0"/>
          <w:numId w:val="1"/>
        </w:numPr>
        <w:spacing w:before="0" w:after="0" w:line="240" w:lineRule="auto"/>
        <w:rPr>
          <w:rFonts w:ascii="宋体" w:hAnsi="宋体" w:eastAsia="宋体"/>
          <w:sz w:val="32"/>
          <w:szCs w:val="32"/>
        </w:rPr>
      </w:pPr>
      <w:r>
        <w:rPr>
          <w:rFonts w:hint="eastAsia" w:ascii="宋体" w:hAnsi="宋体" w:eastAsia="宋体"/>
          <w:sz w:val="32"/>
          <w:szCs w:val="32"/>
        </w:rPr>
        <w:t>设备技术参数要求</w:t>
      </w:r>
      <w:bookmarkStart w:id="1" w:name="_Toc85795413"/>
    </w:p>
    <w:bookmarkEnd w:id="1"/>
    <w:p>
      <w:pPr>
        <w:spacing w:line="276" w:lineRule="auto"/>
        <w:rPr>
          <w:szCs w:val="28"/>
        </w:rPr>
      </w:pPr>
      <w:r>
        <w:rPr>
          <w:b/>
          <w:bCs/>
          <w:szCs w:val="28"/>
        </w:rPr>
        <w:t>说明：本采购需求描述中涉及品牌（如有）、规格、型号、尺寸及重量的均为参考，投标人可提供同等档次或更高档次产品，并提供相应技术参数证明其符合采购需求。“★”代表关键指标</w:t>
      </w:r>
      <w:r>
        <w:rPr>
          <w:rFonts w:hint="eastAsia"/>
          <w:b/>
          <w:bCs/>
          <w:szCs w:val="28"/>
        </w:rPr>
        <w:t>项；</w:t>
      </w:r>
      <w:r>
        <w:rPr>
          <w:b/>
          <w:bCs/>
          <w:szCs w:val="28"/>
        </w:rPr>
        <w:t>无标识则表示属一般指标项。</w:t>
      </w:r>
    </w:p>
    <w:p>
      <w:pPr>
        <w:pStyle w:val="3"/>
        <w:numPr>
          <w:ilvl w:val="1"/>
          <w:numId w:val="1"/>
        </w:numPr>
        <w:spacing w:before="0" w:after="0" w:line="360" w:lineRule="auto"/>
        <w:rPr>
          <w:rFonts w:ascii="宋体" w:hAnsi="宋体" w:eastAsia="宋体"/>
          <w:sz w:val="30"/>
          <w:szCs w:val="30"/>
        </w:rPr>
      </w:pPr>
      <w:r>
        <w:rPr>
          <w:rFonts w:hint="eastAsia" w:ascii="宋体" w:hAnsi="宋体" w:eastAsia="宋体"/>
          <w:sz w:val="30"/>
          <w:szCs w:val="30"/>
        </w:rPr>
        <w:t>LED显示屏</w:t>
      </w:r>
    </w:p>
    <w:tbl>
      <w:tblPr>
        <w:tblStyle w:val="10"/>
        <w:tblW w:w="8227"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shd w:val="clear" w:color="auto" w:fill="FFFFFF"/>
            <w:vAlign w:val="center"/>
          </w:tcPr>
          <w:p>
            <w:pPr>
              <w:jc w:val="center"/>
              <w:rPr>
                <w:b/>
                <w:color w:val="000000"/>
              </w:rPr>
            </w:pPr>
            <w:r>
              <w:rPr>
                <w:rFonts w:hint="eastAsia"/>
                <w:b/>
                <w:color w:val="000000"/>
              </w:rPr>
              <w:t>技术指标</w:t>
            </w:r>
          </w:p>
        </w:tc>
        <w:tc>
          <w:tcPr>
            <w:tcW w:w="6951" w:type="dxa"/>
            <w:shd w:val="clear" w:color="auto" w:fill="FFFFFF"/>
            <w:vAlign w:val="center"/>
          </w:tcPr>
          <w:p>
            <w:pPr>
              <w:ind w:left="26" w:leftChars="-39" w:hanging="120" w:hangingChars="50"/>
              <w:jc w:val="center"/>
              <w:rPr>
                <w:b/>
                <w:color w:val="000000"/>
              </w:rPr>
            </w:pPr>
            <w:r>
              <w:rPr>
                <w:rFonts w:hint="eastAsia"/>
                <w:b/>
                <w:bCs/>
              </w:rPr>
              <w:t>参数</w:t>
            </w:r>
            <w:r>
              <w:rPr>
                <w:b/>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restart"/>
            <w:shd w:val="clear" w:color="auto" w:fill="FFFFFF"/>
            <w:vAlign w:val="center"/>
          </w:tcPr>
          <w:p>
            <w:pPr>
              <w:jc w:val="center"/>
            </w:pPr>
            <w:r>
              <w:rPr>
                <w:rFonts w:hint="eastAsia"/>
              </w:rPr>
              <w:t>规格指标</w:t>
            </w:r>
          </w:p>
        </w:tc>
        <w:tc>
          <w:tcPr>
            <w:tcW w:w="6951" w:type="dxa"/>
            <w:vAlign w:val="center"/>
          </w:tcPr>
          <w:p>
            <w:pPr>
              <w:textAlignment w:val="baseline"/>
              <w:rPr>
                <w:color w:val="000000"/>
              </w:rPr>
            </w:pPr>
            <w:r>
              <w:rPr>
                <w:rFonts w:hint="eastAsia" w:ascii="仿宋" w:hAnsi="仿宋" w:eastAsia="仿宋"/>
              </w:rPr>
              <w:t>▲</w:t>
            </w:r>
            <w:r>
              <w:rPr>
                <w:color w:val="000000"/>
              </w:rPr>
              <w:t>像素间距(mm)要求：≤1.57mm</w:t>
            </w:r>
            <w:r>
              <w:rPr>
                <w:rFonts w:hint="eastAsia"/>
                <w:color w:val="000000"/>
              </w:rPr>
              <w:t>，</w:t>
            </w:r>
            <w:r>
              <w:rPr>
                <w:rFonts w:hint="eastAsia"/>
                <w:color w:val="000000"/>
                <w:sz w:val="21"/>
                <w:szCs w:val="21"/>
              </w:rPr>
              <w:t>提供产品白皮书或官方彩页或第三方检测报告并加盖制造商公章；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continue"/>
            <w:shd w:val="clear" w:color="auto" w:fill="FFFFFF"/>
            <w:vAlign w:val="center"/>
          </w:tcPr>
          <w:p>
            <w:pPr>
              <w:jc w:val="center"/>
            </w:pPr>
          </w:p>
        </w:tc>
        <w:tc>
          <w:tcPr>
            <w:tcW w:w="6951" w:type="dxa"/>
            <w:vAlign w:val="center"/>
          </w:tcPr>
          <w:p>
            <w:pPr>
              <w:textAlignment w:val="baseline"/>
              <w:rPr>
                <w:color w:val="000000"/>
              </w:rPr>
            </w:pPr>
            <w:r>
              <w:rPr>
                <w:rFonts w:hint="eastAsia" w:ascii="仿宋" w:hAnsi="仿宋" w:eastAsia="仿宋"/>
              </w:rPr>
              <w:t>▲</w:t>
            </w:r>
            <w:r>
              <w:rPr>
                <w:color w:val="000000"/>
              </w:rPr>
              <w:t>尺寸：3.6 X 2.025mm，分辨率：2688 X 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restart"/>
            <w:shd w:val="clear" w:color="auto" w:fill="FFFFFF"/>
            <w:vAlign w:val="center"/>
          </w:tcPr>
          <w:p>
            <w:pPr>
              <w:jc w:val="center"/>
            </w:pPr>
            <w:r>
              <w:rPr>
                <w:rFonts w:hint="eastAsia"/>
              </w:rPr>
              <w:t>功能指标</w:t>
            </w:r>
          </w:p>
        </w:tc>
        <w:tc>
          <w:tcPr>
            <w:tcW w:w="6951" w:type="dxa"/>
          </w:tcPr>
          <w:p>
            <w:pPr>
              <w:textAlignment w:val="baseline"/>
              <w:rPr>
                <w:color w:val="000000"/>
              </w:rPr>
            </w:pPr>
            <w:r>
              <w:t>箱体尺寸16:9，箱体采用压铸铝合金材质，箱体背板为一次性整体压铸成型。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continue"/>
            <w:shd w:val="clear" w:color="auto" w:fill="FFFFFF"/>
            <w:vAlign w:val="center"/>
          </w:tcPr>
          <w:p>
            <w:pPr>
              <w:jc w:val="center"/>
            </w:pPr>
          </w:p>
        </w:tc>
        <w:tc>
          <w:tcPr>
            <w:tcW w:w="6951" w:type="dxa"/>
          </w:tcPr>
          <w:p>
            <w:pPr>
              <w:textAlignment w:val="baseline"/>
            </w:pPr>
            <w:r>
              <w:t>可调整刷新率，具有亮度/对比度/色度调节/视觉修正灯图像调整功能图像处理功能; 具体视频降噪，动态补偿，色彩变换等图像处理功能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continue"/>
            <w:shd w:val="clear" w:color="auto" w:fill="FFFFFF"/>
            <w:vAlign w:val="center"/>
          </w:tcPr>
          <w:p>
            <w:pPr>
              <w:jc w:val="center"/>
            </w:pPr>
          </w:p>
        </w:tc>
        <w:tc>
          <w:tcPr>
            <w:tcW w:w="6951" w:type="dxa"/>
          </w:tcPr>
          <w:p>
            <w:pPr>
              <w:textAlignment w:val="baseline"/>
            </w:pPr>
            <w:r>
              <w:t>白平衡亮度：≥600nits；</w:t>
            </w:r>
          </w:p>
          <w:p>
            <w:pPr>
              <w:textAlignment w:val="baseline"/>
            </w:pPr>
            <w:r>
              <w:t>对比度：≥10000:1；</w:t>
            </w:r>
          </w:p>
          <w:p>
            <w:pPr>
              <w:textAlignment w:val="baseline"/>
            </w:pPr>
            <w:r>
              <w:t>亮度均匀性：≥98.5%；</w:t>
            </w:r>
          </w:p>
          <w:p>
            <w:pPr>
              <w:textAlignment w:val="baseline"/>
            </w:pPr>
            <w:r>
              <w:t>色温（K）：2000—10000可调；</w:t>
            </w:r>
          </w:p>
          <w:p>
            <w:pPr>
              <w:textAlignment w:val="baseline"/>
            </w:pPr>
            <w:r>
              <w:t>水平视角：≥160°；垂直视角：≥160°；</w:t>
            </w:r>
          </w:p>
          <w:p>
            <w:pPr>
              <w:textAlignment w:val="baseline"/>
              <w:rPr>
                <w:rFonts w:hint="eastAsia"/>
              </w:rPr>
            </w:pPr>
            <w:r>
              <w:rPr>
                <w:rFonts w:hint="eastAsia"/>
                <w:color w:val="000000"/>
                <w:sz w:val="21"/>
                <w:szCs w:val="21"/>
              </w:rPr>
              <w:t>提供产品白皮书或官方彩页或第三方检测报告并加盖制造商公章；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continue"/>
            <w:shd w:val="clear" w:color="auto" w:fill="FFFFFF"/>
            <w:vAlign w:val="center"/>
          </w:tcPr>
          <w:p>
            <w:pPr>
              <w:jc w:val="center"/>
            </w:pPr>
          </w:p>
        </w:tc>
        <w:tc>
          <w:tcPr>
            <w:tcW w:w="6951" w:type="dxa"/>
          </w:tcPr>
          <w:p>
            <w:pPr>
              <w:textAlignment w:val="baseline"/>
            </w:pPr>
            <w:r>
              <w:rPr>
                <w:rFonts w:hint="eastAsia"/>
              </w:rPr>
              <w:t>为确保减小屏体拼接缝误差，制造商具有拼接误差的检测技术方法和装置。提供相关知识产权证书并加盖制造商公章。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continue"/>
            <w:shd w:val="clear" w:color="auto" w:fill="FFFFFF"/>
            <w:vAlign w:val="center"/>
          </w:tcPr>
          <w:p>
            <w:pPr>
              <w:jc w:val="center"/>
            </w:pPr>
          </w:p>
        </w:tc>
        <w:tc>
          <w:tcPr>
            <w:tcW w:w="6951" w:type="dxa"/>
          </w:tcPr>
          <w:p>
            <w:pPr>
              <w:textAlignment w:val="baseline"/>
              <w:rPr>
                <w:color w:val="000000"/>
              </w:rPr>
            </w:pPr>
            <w:r>
              <w:t>搭配HDR系统卡，可实现即高动态范围图像显示屏效果；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continue"/>
            <w:shd w:val="clear" w:color="auto" w:fill="FFFFFF"/>
            <w:vAlign w:val="center"/>
          </w:tcPr>
          <w:p>
            <w:pPr>
              <w:jc w:val="center"/>
            </w:pPr>
          </w:p>
        </w:tc>
        <w:tc>
          <w:tcPr>
            <w:tcW w:w="6951" w:type="dxa"/>
          </w:tcPr>
          <w:p>
            <w:pPr>
              <w:textAlignment w:val="baseline"/>
            </w:pPr>
            <w:r>
              <w:rPr>
                <w:rFonts w:hint="eastAsia"/>
              </w:rPr>
              <w:t>电路板设计：采用多层</w:t>
            </w:r>
            <w:r>
              <w:t>PCB设计，一体化驱动控制，PCB表面沉金处理，采用抗消隐设计，无“毛毛虫”“鬼影”跟随现象。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restart"/>
            <w:shd w:val="clear" w:color="auto" w:fill="FFFFFF"/>
            <w:vAlign w:val="center"/>
          </w:tcPr>
          <w:p>
            <w:pPr>
              <w:jc w:val="center"/>
            </w:pPr>
            <w:r>
              <w:rPr>
                <w:rFonts w:hint="eastAsia"/>
              </w:rPr>
              <w:t>维护便捷性</w:t>
            </w:r>
          </w:p>
        </w:tc>
        <w:tc>
          <w:tcPr>
            <w:tcW w:w="6951" w:type="dxa"/>
          </w:tcPr>
          <w:p>
            <w:pPr>
              <w:textAlignment w:val="baseline"/>
              <w:rPr>
                <w:rFonts w:hint="eastAsia"/>
              </w:rPr>
            </w:pPr>
            <w:r>
              <w:rPr>
                <w:rFonts w:hint="eastAsia"/>
              </w:rPr>
              <w:t>维护方式：电源、模组、接收卡、</w:t>
            </w:r>
            <w:r>
              <w:t>HUB卡全前维护，支持热插拔。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continue"/>
            <w:shd w:val="clear" w:color="auto" w:fill="FFFFFF"/>
            <w:vAlign w:val="center"/>
          </w:tcPr>
          <w:p>
            <w:pPr>
              <w:jc w:val="center"/>
            </w:pPr>
          </w:p>
        </w:tc>
        <w:tc>
          <w:tcPr>
            <w:tcW w:w="6951" w:type="dxa"/>
          </w:tcPr>
          <w:p>
            <w:pPr>
              <w:textAlignment w:val="baseline"/>
              <w:rPr>
                <w:rFonts w:hint="eastAsia"/>
              </w:rPr>
            </w:pPr>
            <w:r>
              <w:rPr>
                <w:rFonts w:hint="eastAsia"/>
              </w:rPr>
              <w:t>屏体安装结构：前、后安装，完全前维护，无螺钉安装，贴墙安装、无需预留空间。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continue"/>
            <w:shd w:val="clear" w:color="auto" w:fill="FFFFFF"/>
            <w:vAlign w:val="center"/>
          </w:tcPr>
          <w:p>
            <w:pPr>
              <w:jc w:val="center"/>
            </w:pPr>
          </w:p>
        </w:tc>
        <w:tc>
          <w:tcPr>
            <w:tcW w:w="6951" w:type="dxa"/>
          </w:tcPr>
          <w:p>
            <w:pPr>
              <w:textAlignment w:val="baseline"/>
              <w:rPr>
                <w:rFonts w:hint="eastAsia"/>
              </w:rPr>
            </w:pPr>
            <w:r>
              <w:rPr>
                <w:rFonts w:hint="eastAsia"/>
              </w:rPr>
              <w:t>模组安装方式：模组采用磁悬浮安装方式，受结构影响小，平整度有保证。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276" w:type="dxa"/>
            <w:vMerge w:val="restart"/>
            <w:shd w:val="clear" w:color="auto" w:fill="FFFFFF"/>
            <w:vAlign w:val="center"/>
          </w:tcPr>
          <w:p>
            <w:pPr>
              <w:jc w:val="center"/>
            </w:pPr>
            <w:r>
              <w:rPr>
                <w:rFonts w:hint="eastAsia"/>
              </w:rPr>
              <w:t>认证规范</w:t>
            </w:r>
          </w:p>
        </w:tc>
        <w:tc>
          <w:tcPr>
            <w:tcW w:w="6951" w:type="dxa"/>
            <w:vAlign w:val="center"/>
          </w:tcPr>
          <w:p>
            <w:pPr>
              <w:textAlignment w:val="baseline"/>
              <w:rPr>
                <w:color w:val="000000"/>
              </w:rPr>
            </w:pPr>
            <w:r>
              <w:rPr>
                <w:rFonts w:hint="eastAsia" w:ascii="仿宋" w:hAnsi="仿宋" w:eastAsia="仿宋"/>
              </w:rPr>
              <w:t>▲</w:t>
            </w:r>
            <w:r>
              <w:rPr>
                <w:color w:val="000000"/>
              </w:rPr>
              <w:t>产品具备3</w:t>
            </w:r>
            <w:r>
              <w:rPr>
                <w:rFonts w:hint="eastAsia"/>
                <w:color w:val="000000"/>
              </w:rPr>
              <w:t>C、</w:t>
            </w:r>
            <w:r>
              <w:rPr>
                <w:color w:val="000000"/>
              </w:rPr>
              <w:t>FCC</w:t>
            </w:r>
            <w:r>
              <w:rPr>
                <w:rFonts w:hint="eastAsia"/>
                <w:color w:val="000000"/>
              </w:rPr>
              <w:t>、</w:t>
            </w:r>
            <w:r>
              <w:rPr>
                <w:color w:val="000000"/>
              </w:rPr>
              <w:t>CE</w:t>
            </w:r>
            <w:r>
              <w:rPr>
                <w:rFonts w:hint="eastAsia"/>
                <w:color w:val="000000"/>
              </w:rPr>
              <w:t>、</w:t>
            </w:r>
            <w:r>
              <w:rPr>
                <w:color w:val="000000"/>
              </w:rPr>
              <w:t>CB认证.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276" w:type="dxa"/>
            <w:vMerge w:val="continue"/>
            <w:shd w:val="clear" w:color="auto" w:fill="FFFFFF"/>
            <w:vAlign w:val="center"/>
          </w:tcPr>
          <w:p>
            <w:pPr>
              <w:jc w:val="center"/>
            </w:pPr>
          </w:p>
        </w:tc>
        <w:tc>
          <w:tcPr>
            <w:tcW w:w="6951" w:type="dxa"/>
            <w:vAlign w:val="center"/>
          </w:tcPr>
          <w:p>
            <w:pPr>
              <w:textAlignment w:val="baseline"/>
              <w:rPr>
                <w:color w:val="000000"/>
              </w:rPr>
            </w:pPr>
            <w:r>
              <w:rPr>
                <w:rFonts w:hint="eastAsia" w:ascii="仿宋" w:hAnsi="仿宋" w:eastAsia="仿宋"/>
              </w:rPr>
              <w:t>▲</w:t>
            </w:r>
            <w:r>
              <w:rPr>
                <w:color w:val="000000"/>
              </w:rPr>
              <w:t>产品符合显示设备显示性能和视觉健康认证技术规范。</w:t>
            </w:r>
          </w:p>
        </w:tc>
      </w:tr>
    </w:tbl>
    <w:p/>
    <w:p>
      <w:pPr>
        <w:pStyle w:val="3"/>
        <w:numPr>
          <w:ilvl w:val="1"/>
          <w:numId w:val="1"/>
        </w:numPr>
        <w:spacing w:before="0" w:after="0" w:line="360" w:lineRule="auto"/>
        <w:rPr>
          <w:rFonts w:ascii="宋体" w:hAnsi="宋体" w:eastAsia="宋体"/>
          <w:sz w:val="30"/>
          <w:szCs w:val="30"/>
        </w:rPr>
      </w:pPr>
      <w:r>
        <w:rPr>
          <w:rFonts w:hint="eastAsia" w:ascii="宋体" w:hAnsi="宋体" w:eastAsia="宋体"/>
          <w:sz w:val="30"/>
          <w:szCs w:val="30"/>
        </w:rPr>
        <w:t>大屏控制系统</w:t>
      </w:r>
    </w:p>
    <w:tbl>
      <w:tblPr>
        <w:tblStyle w:val="10"/>
        <w:tblW w:w="4958" w:type="pct"/>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6" w:type="pct"/>
            <w:noWrap/>
            <w:vAlign w:val="center"/>
          </w:tcPr>
          <w:p>
            <w:pPr>
              <w:jc w:val="center"/>
              <w:rPr>
                <w:b/>
                <w:color w:val="000000"/>
              </w:rPr>
            </w:pPr>
            <w:r>
              <w:rPr>
                <w:rFonts w:hint="eastAsia"/>
                <w:b/>
                <w:color w:val="000000"/>
              </w:rPr>
              <w:t>技术指标</w:t>
            </w:r>
          </w:p>
        </w:tc>
        <w:tc>
          <w:tcPr>
            <w:tcW w:w="4134" w:type="pct"/>
            <w:noWrap/>
            <w:vAlign w:val="center"/>
          </w:tcPr>
          <w:p>
            <w:pPr>
              <w:ind w:left="26" w:leftChars="-39" w:hanging="120" w:hangingChars="50"/>
              <w:jc w:val="center"/>
              <w:rPr>
                <w:b/>
                <w:color w:val="000000"/>
              </w:rPr>
            </w:pPr>
            <w:r>
              <w:rPr>
                <w:rFonts w:hint="eastAsia"/>
                <w:b/>
                <w:color w:val="000000"/>
              </w:rPr>
              <w:t>参数</w:t>
            </w:r>
            <w:r>
              <w:rPr>
                <w:b/>
                <w:color w:val="00000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6" w:type="pct"/>
            <w:shd w:val="clear" w:color="auto" w:fill="auto"/>
            <w:noWrap/>
            <w:vAlign w:val="center"/>
          </w:tcPr>
          <w:p>
            <w:pPr>
              <w:spacing w:line="300" w:lineRule="auto"/>
              <w:textAlignment w:val="baseline"/>
            </w:pPr>
            <w:r>
              <w:rPr>
                <w:rFonts w:hint="eastAsia"/>
              </w:rPr>
              <w:t>硬件指标</w:t>
            </w:r>
          </w:p>
        </w:tc>
        <w:tc>
          <w:tcPr>
            <w:tcW w:w="4134" w:type="pct"/>
            <w:shd w:val="clear" w:color="auto" w:fill="auto"/>
            <w:noWrap/>
            <w:vAlign w:val="center"/>
          </w:tcPr>
          <w:p>
            <w:pPr>
              <w:spacing w:line="300" w:lineRule="auto"/>
              <w:textAlignment w:val="baseline"/>
            </w:pPr>
            <w:r>
              <w:rPr>
                <w:rFonts w:hint="eastAsia" w:ascii="仿宋" w:hAnsi="仿宋" w:eastAsia="仿宋"/>
              </w:rPr>
              <w:t>▲</w:t>
            </w:r>
            <w:r>
              <w:t>接收卡≥32个，发送卡≥4台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6" w:type="pct"/>
            <w:vMerge w:val="restart"/>
            <w:shd w:val="clear" w:color="auto" w:fill="auto"/>
            <w:noWrap/>
            <w:vAlign w:val="center"/>
          </w:tcPr>
          <w:p>
            <w:pPr>
              <w:spacing w:line="300" w:lineRule="auto"/>
              <w:jc w:val="center"/>
              <w:textAlignment w:val="baseline"/>
            </w:pPr>
            <w:r>
              <w:rPr>
                <w:rFonts w:hint="eastAsia"/>
              </w:rPr>
              <w:t>功能指标</w:t>
            </w:r>
          </w:p>
        </w:tc>
        <w:tc>
          <w:tcPr>
            <w:tcW w:w="4134" w:type="pct"/>
            <w:shd w:val="clear" w:color="auto" w:fill="auto"/>
            <w:noWrap/>
          </w:tcPr>
          <w:p>
            <w:pPr>
              <w:spacing w:line="300" w:lineRule="auto"/>
              <w:textAlignment w:val="baseline"/>
            </w:pPr>
            <w:r>
              <w:t>1、支持多视频位深输入：支持 8bit/10bit/12bit 视频位深显示。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6" w:type="pct"/>
            <w:vMerge w:val="continue"/>
            <w:shd w:val="clear" w:color="auto" w:fill="auto"/>
            <w:noWrap/>
            <w:vAlign w:val="center"/>
          </w:tcPr>
          <w:p>
            <w:pPr>
              <w:spacing w:line="300" w:lineRule="auto"/>
              <w:jc w:val="center"/>
              <w:textAlignment w:val="baseline"/>
            </w:pPr>
          </w:p>
        </w:tc>
        <w:tc>
          <w:tcPr>
            <w:tcW w:w="4134" w:type="pct"/>
            <w:shd w:val="clear" w:color="auto" w:fill="auto"/>
            <w:noWrap/>
          </w:tcPr>
          <w:p>
            <w:pPr>
              <w:spacing w:line="300" w:lineRule="auto"/>
              <w:textAlignment w:val="baseline"/>
            </w:pPr>
            <w:r>
              <w:t>2、HDR 显示:支持HDR10/HLG 两种HDR 视频标准，还原真实 HDR 视觉效果。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6" w:type="pct"/>
            <w:vMerge w:val="continue"/>
            <w:shd w:val="clear" w:color="auto" w:fill="auto"/>
            <w:noWrap/>
            <w:vAlign w:val="center"/>
          </w:tcPr>
          <w:p>
            <w:pPr>
              <w:spacing w:line="300" w:lineRule="auto"/>
              <w:jc w:val="center"/>
              <w:textAlignment w:val="baseline"/>
            </w:pPr>
          </w:p>
        </w:tc>
        <w:tc>
          <w:tcPr>
            <w:tcW w:w="4134" w:type="pct"/>
            <w:shd w:val="clear" w:color="auto" w:fill="auto"/>
            <w:noWrap/>
            <w:vAlign w:val="center"/>
          </w:tcPr>
          <w:p>
            <w:pPr>
              <w:spacing w:line="300" w:lineRule="auto"/>
              <w:textAlignment w:val="baseline"/>
            </w:pPr>
            <w:r>
              <w:t>支持逐点亮色度校正:支持 8bit/14bit 精度的亮色度一体化逐点校正，有效消除色差，均匀性不一等问题，提高显示屏的画质显示效果。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6" w:type="pct"/>
            <w:vMerge w:val="continue"/>
            <w:shd w:val="clear" w:color="auto" w:fill="auto"/>
            <w:noWrap/>
            <w:vAlign w:val="center"/>
          </w:tcPr>
          <w:p>
            <w:pPr>
              <w:spacing w:line="300" w:lineRule="auto"/>
              <w:jc w:val="center"/>
              <w:textAlignment w:val="baseline"/>
            </w:pPr>
          </w:p>
        </w:tc>
        <w:tc>
          <w:tcPr>
            <w:tcW w:w="4134" w:type="pct"/>
            <w:shd w:val="clear" w:color="auto" w:fill="auto"/>
            <w:noWrap/>
            <w:vAlign w:val="center"/>
          </w:tcPr>
          <w:p>
            <w:pPr>
              <w:spacing w:line="300" w:lineRule="auto"/>
              <w:textAlignment w:val="baseline"/>
            </w:pPr>
            <w:r>
              <w:t>亮度自动调节功能： 配合多功能卡，通过亮度传感器检测外部环境亮度，实现自动调整屏幕亮度，环保又节能，为客户节省用电成本。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6" w:type="pct"/>
            <w:vMerge w:val="continue"/>
            <w:shd w:val="clear" w:color="auto" w:fill="auto"/>
            <w:noWrap/>
            <w:vAlign w:val="center"/>
          </w:tcPr>
          <w:p>
            <w:pPr>
              <w:spacing w:line="300" w:lineRule="auto"/>
              <w:jc w:val="center"/>
              <w:textAlignment w:val="baseline"/>
            </w:pPr>
          </w:p>
        </w:tc>
        <w:tc>
          <w:tcPr>
            <w:tcW w:w="4134" w:type="pct"/>
            <w:shd w:val="clear" w:color="auto" w:fill="auto"/>
            <w:noWrap/>
            <w:vAlign w:val="center"/>
          </w:tcPr>
          <w:p>
            <w:pPr>
              <w:spacing w:line="300" w:lineRule="auto"/>
              <w:textAlignment w:val="baseline"/>
            </w:pPr>
            <w:r>
              <w:rPr>
                <w:rFonts w:hint="eastAsia"/>
              </w:rPr>
              <w:t>★为了保证系统整体兼容性，与LED显示屏为同一品牌。</w:t>
            </w:r>
          </w:p>
        </w:tc>
      </w:tr>
    </w:tbl>
    <w:p>
      <w:bookmarkStart w:id="2" w:name="_Toc85795416"/>
    </w:p>
    <w:bookmarkEnd w:id="2"/>
    <w:p>
      <w:pPr>
        <w:pStyle w:val="3"/>
        <w:numPr>
          <w:ilvl w:val="1"/>
          <w:numId w:val="1"/>
        </w:numPr>
        <w:spacing w:before="0" w:after="0" w:line="360" w:lineRule="auto"/>
        <w:rPr>
          <w:rFonts w:ascii="宋体" w:hAnsi="宋体" w:eastAsia="宋体"/>
          <w:sz w:val="30"/>
          <w:szCs w:val="30"/>
        </w:rPr>
      </w:pPr>
      <w:r>
        <w:rPr>
          <w:rFonts w:hint="eastAsia" w:ascii="宋体" w:hAnsi="宋体" w:eastAsia="宋体"/>
          <w:sz w:val="30"/>
          <w:szCs w:val="30"/>
        </w:rPr>
        <w:t>视频处理器</w:t>
      </w:r>
    </w:p>
    <w:tbl>
      <w:tblPr>
        <w:tblStyle w:val="10"/>
        <w:tblW w:w="822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trPr>
        <w:tc>
          <w:tcPr>
            <w:tcW w:w="1559" w:type="dxa"/>
            <w:shd w:val="clear" w:color="auto" w:fill="auto"/>
            <w:vAlign w:val="center"/>
          </w:tcPr>
          <w:p>
            <w:pPr>
              <w:jc w:val="center"/>
              <w:rPr>
                <w:rFonts w:cs="Calibri"/>
                <w:b/>
                <w:bCs/>
              </w:rPr>
            </w:pPr>
            <w:r>
              <w:rPr>
                <w:rFonts w:hint="eastAsia" w:cs="Calibri"/>
                <w:b/>
                <w:bCs/>
              </w:rPr>
              <w:t>技术指标</w:t>
            </w:r>
          </w:p>
        </w:tc>
        <w:tc>
          <w:tcPr>
            <w:tcW w:w="6663" w:type="dxa"/>
            <w:shd w:val="clear" w:color="auto" w:fill="auto"/>
          </w:tcPr>
          <w:p>
            <w:pPr>
              <w:jc w:val="center"/>
              <w:rPr>
                <w:rFonts w:cs="Calibri"/>
                <w:b/>
                <w:bCs/>
              </w:rPr>
            </w:pPr>
            <w:r>
              <w:rPr>
                <w:rFonts w:hint="eastAsia" w:cs="Calibri"/>
                <w:b/>
                <w:bCs/>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59" w:type="dxa"/>
            <w:vMerge w:val="restart"/>
            <w:shd w:val="clear" w:color="auto" w:fill="FFFFFF"/>
            <w:vAlign w:val="center"/>
          </w:tcPr>
          <w:p>
            <w:pPr>
              <w:jc w:val="center"/>
              <w:rPr>
                <w:rFonts w:cs="Calibri"/>
                <w:b/>
              </w:rPr>
            </w:pPr>
            <w:r>
              <w:rPr>
                <w:rFonts w:hint="eastAsia" w:cs="Calibri"/>
                <w:b/>
              </w:rPr>
              <w:t>功能指标</w:t>
            </w:r>
          </w:p>
        </w:tc>
        <w:tc>
          <w:tcPr>
            <w:tcW w:w="6663" w:type="dxa"/>
            <w:shd w:val="clear" w:color="auto" w:fill="FFFFFF"/>
          </w:tcPr>
          <w:p>
            <w:pPr>
              <w:snapToGrid w:val="0"/>
              <w:jc w:val="both"/>
              <w:rPr>
                <w:rFonts w:cs="Calibri"/>
              </w:rPr>
            </w:pPr>
            <w:r>
              <w:rPr>
                <w:rFonts w:hint="eastAsia" w:cs="Calibri"/>
              </w:rPr>
              <w:t>分辨率调节：支持</w:t>
            </w:r>
            <w:r>
              <w:rPr>
                <w:rFonts w:cs="Calibri"/>
              </w:rPr>
              <w:t xml:space="preserve"> HDMI</w:t>
            </w:r>
            <w:r>
              <w:rPr>
                <w:rFonts w:hint="eastAsia" w:cs="Calibri"/>
              </w:rPr>
              <w:t>、</w:t>
            </w:r>
            <w:r>
              <w:rPr>
                <w:rFonts w:cs="Calibri"/>
              </w:rPr>
              <w:t xml:space="preserve">DVI </w:t>
            </w:r>
            <w:r>
              <w:rPr>
                <w:rFonts w:hint="eastAsia" w:cs="Calibri"/>
              </w:rPr>
              <w:t>输入分辨率自定义调节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shd w:val="clear" w:color="auto" w:fill="FFFFFF"/>
            <w:vAlign w:val="center"/>
          </w:tcPr>
          <w:p>
            <w:pPr>
              <w:jc w:val="center"/>
              <w:rPr>
                <w:rFonts w:cs="Calibri"/>
                <w:b/>
              </w:rPr>
            </w:pPr>
          </w:p>
        </w:tc>
        <w:tc>
          <w:tcPr>
            <w:tcW w:w="6663" w:type="dxa"/>
          </w:tcPr>
          <w:p>
            <w:pPr>
              <w:snapToGrid w:val="0"/>
              <w:jc w:val="both"/>
              <w:rPr>
                <w:rFonts w:cs="Calibri"/>
              </w:rPr>
            </w:pPr>
            <w:r>
              <w:rPr>
                <w:rFonts w:hint="eastAsia" w:cs="Calibri"/>
              </w:rPr>
              <w:t>输出及带载：视频输出支持</w:t>
            </w:r>
            <w:r>
              <w:rPr>
                <w:rFonts w:cs="Calibri"/>
              </w:rPr>
              <w:t xml:space="preserve"> 16 </w:t>
            </w:r>
            <w:r>
              <w:rPr>
                <w:rFonts w:hint="eastAsia" w:cs="Calibri"/>
              </w:rPr>
              <w:t>个千兆网口和</w:t>
            </w:r>
            <w:r>
              <w:rPr>
                <w:rFonts w:cs="Calibri"/>
              </w:rPr>
              <w:t xml:space="preserve"> 4</w:t>
            </w:r>
            <w:r>
              <w:rPr>
                <w:rFonts w:hint="eastAsia" w:cs="Calibri"/>
              </w:rPr>
              <w:t>路光纤输出，最大带载</w:t>
            </w:r>
            <w:r>
              <w:rPr>
                <w:rFonts w:cs="仿宋"/>
              </w:rPr>
              <w:t>≥</w:t>
            </w:r>
            <w:r>
              <w:rPr>
                <w:rFonts w:cs="Calibri"/>
              </w:rPr>
              <w:t>1040</w:t>
            </w:r>
            <w:r>
              <w:rPr>
                <w:rFonts w:hint="eastAsia" w:cs="Calibri"/>
              </w:rPr>
              <w:t>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shd w:val="clear" w:color="auto" w:fill="FFFFFF"/>
            <w:vAlign w:val="center"/>
          </w:tcPr>
          <w:p>
            <w:pPr>
              <w:jc w:val="center"/>
              <w:rPr>
                <w:rFonts w:cs="Calibri"/>
                <w:b/>
              </w:rPr>
            </w:pPr>
          </w:p>
        </w:tc>
        <w:tc>
          <w:tcPr>
            <w:tcW w:w="6663" w:type="dxa"/>
          </w:tcPr>
          <w:p>
            <w:pPr>
              <w:snapToGrid w:val="0"/>
              <w:jc w:val="both"/>
              <w:rPr>
                <w:rFonts w:cs="Calibri"/>
              </w:rPr>
            </w:pPr>
            <w:r>
              <w:rPr>
                <w:rFonts w:hint="eastAsia" w:cs="Calibri"/>
              </w:rPr>
              <w:t>支持通过设备旋转按钮快捷配屏和高级配屏功能点亮屏体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shd w:val="clear" w:color="auto" w:fill="FFFFFF"/>
            <w:vAlign w:val="center"/>
          </w:tcPr>
          <w:p>
            <w:pPr>
              <w:jc w:val="center"/>
              <w:rPr>
                <w:rFonts w:cs="Calibri"/>
                <w:b/>
              </w:rPr>
            </w:pPr>
          </w:p>
        </w:tc>
        <w:tc>
          <w:tcPr>
            <w:tcW w:w="6663" w:type="dxa"/>
          </w:tcPr>
          <w:p>
            <w:pPr>
              <w:snapToGrid w:val="0"/>
              <w:jc w:val="both"/>
              <w:rPr>
                <w:rFonts w:cs="Calibri"/>
              </w:rPr>
            </w:pPr>
            <w:r>
              <w:rPr>
                <w:rFonts w:hint="eastAsia" w:cs="Calibri"/>
              </w:rPr>
              <w:t>带载屏体亮度调节：无需电脑，可通过旋转按钮一键调节屏体亮度调节。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vMerge w:val="continue"/>
            <w:shd w:val="clear" w:color="auto" w:fill="FFFFFF"/>
            <w:vAlign w:val="center"/>
          </w:tcPr>
          <w:p>
            <w:pPr>
              <w:jc w:val="center"/>
              <w:rPr>
                <w:rFonts w:cs="Calibri"/>
                <w:b/>
              </w:rPr>
            </w:pPr>
          </w:p>
        </w:tc>
        <w:tc>
          <w:tcPr>
            <w:tcW w:w="6663" w:type="dxa"/>
          </w:tcPr>
          <w:p>
            <w:pPr>
              <w:snapToGrid w:val="0"/>
              <w:jc w:val="both"/>
              <w:rPr>
                <w:rFonts w:cs="Calibri"/>
              </w:rPr>
            </w:pPr>
            <w:r>
              <w:rPr>
                <w:rFonts w:hint="eastAsia" w:cs="Calibri"/>
              </w:rPr>
              <w:t>一键缩放：无需电脑，支持一键将优先级最低的窗口全屏自动缩放，支持</w:t>
            </w:r>
            <w:r>
              <w:rPr>
                <w:rFonts w:cs="仿宋"/>
              </w:rPr>
              <w:t>≥</w:t>
            </w:r>
            <w:r>
              <w:rPr>
                <w:rFonts w:cs="Calibri"/>
              </w:rPr>
              <w:t xml:space="preserve">3 </w:t>
            </w:r>
            <w:r>
              <w:rPr>
                <w:rFonts w:hint="eastAsia" w:cs="Calibri"/>
              </w:rPr>
              <w:t>种画面缩放模式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shd w:val="clear" w:color="auto" w:fill="FFFFFF"/>
            <w:vAlign w:val="center"/>
          </w:tcPr>
          <w:p>
            <w:pPr>
              <w:jc w:val="center"/>
              <w:rPr>
                <w:rFonts w:cs="Calibri"/>
                <w:b/>
              </w:rPr>
            </w:pPr>
          </w:p>
        </w:tc>
        <w:tc>
          <w:tcPr>
            <w:tcW w:w="6663" w:type="dxa"/>
          </w:tcPr>
          <w:p>
            <w:pPr>
              <w:snapToGrid w:val="0"/>
              <w:jc w:val="both"/>
              <w:rPr>
                <w:rFonts w:cs="Calibri"/>
              </w:rPr>
            </w:pPr>
            <w:r>
              <w:rPr>
                <w:rFonts w:hint="eastAsia" w:cs="Calibri"/>
              </w:rPr>
              <w:t>支持选择</w:t>
            </w:r>
            <w:r>
              <w:rPr>
                <w:rFonts w:cs="Calibri"/>
              </w:rPr>
              <w:t xml:space="preserve"> HDMI </w:t>
            </w:r>
            <w:r>
              <w:rPr>
                <w:rFonts w:hint="eastAsia" w:cs="Calibri"/>
              </w:rPr>
              <w:t>输入源或</w:t>
            </w:r>
            <w:r>
              <w:rPr>
                <w:rFonts w:cs="Calibri"/>
              </w:rPr>
              <w:t xml:space="preserve"> DVI</w:t>
            </w:r>
            <w:r>
              <w:rPr>
                <w:rFonts w:hint="eastAsia" w:cs="Calibri"/>
              </w:rPr>
              <w:t>输入源作为同步信号，达到输出的场级同步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shd w:val="clear" w:color="auto" w:fill="FFFFFF"/>
            <w:vAlign w:val="center"/>
          </w:tcPr>
          <w:p>
            <w:pPr>
              <w:jc w:val="center"/>
              <w:rPr>
                <w:rFonts w:cs="Calibri"/>
                <w:b/>
              </w:rPr>
            </w:pPr>
          </w:p>
        </w:tc>
        <w:tc>
          <w:tcPr>
            <w:tcW w:w="6663" w:type="dxa"/>
          </w:tcPr>
          <w:p>
            <w:pPr>
              <w:snapToGrid w:val="0"/>
              <w:jc w:val="both"/>
              <w:rPr>
                <w:rFonts w:cs="Calibri"/>
              </w:rPr>
            </w:pPr>
            <w:r>
              <w:rPr>
                <w:rFonts w:hint="eastAsia" w:cs="Calibri"/>
              </w:rPr>
              <w:t>液晶面板可实时显示，</w:t>
            </w:r>
            <w:r>
              <w:rPr>
                <w:rFonts w:cs="Calibri"/>
              </w:rPr>
              <w:t>ip</w:t>
            </w:r>
            <w:r>
              <w:rPr>
                <w:rFonts w:hint="eastAsia" w:cs="Calibri"/>
              </w:rPr>
              <w:t>地址、窗口及信号源的分辨率以及状态信息、</w:t>
            </w:r>
            <w:r>
              <w:rPr>
                <w:rFonts w:cs="Calibri"/>
              </w:rPr>
              <w:t xml:space="preserve">16 </w:t>
            </w:r>
            <w:r>
              <w:rPr>
                <w:rFonts w:hint="eastAsia" w:cs="Calibri"/>
              </w:rPr>
              <w:t>路网口的状态、屏幕大小及帧频信息、设备同步模式展示、屏体亮度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vAlign w:val="center"/>
          </w:tcPr>
          <w:p>
            <w:pPr>
              <w:jc w:val="center"/>
              <w:rPr>
                <w:rFonts w:cs="Calibri"/>
                <w:b/>
              </w:rPr>
            </w:pPr>
            <w:r>
              <w:rPr>
                <w:rFonts w:hint="eastAsia" w:cs="Calibri"/>
                <w:b/>
              </w:rPr>
              <w:t>产品认证</w:t>
            </w:r>
          </w:p>
        </w:tc>
        <w:tc>
          <w:tcPr>
            <w:tcW w:w="6663" w:type="dxa"/>
            <w:vAlign w:val="center"/>
          </w:tcPr>
          <w:p>
            <w:pPr>
              <w:snapToGrid w:val="0"/>
              <w:jc w:val="both"/>
              <w:rPr>
                <w:rFonts w:cs="Calibri"/>
              </w:rPr>
            </w:pPr>
            <w:r>
              <w:rPr>
                <w:rFonts w:hint="eastAsia" w:cs="Calibri"/>
              </w:rPr>
              <w:t>具有第三方的</w:t>
            </w:r>
            <w:r>
              <w:rPr>
                <w:rFonts w:cs="Calibri"/>
              </w:rPr>
              <w:t>CNAS、MRA认可的检测报告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jc w:val="center"/>
              <w:rPr>
                <w:rFonts w:cs="Calibri"/>
                <w:b/>
              </w:rPr>
            </w:pPr>
          </w:p>
        </w:tc>
        <w:tc>
          <w:tcPr>
            <w:tcW w:w="6663" w:type="dxa"/>
            <w:vAlign w:val="center"/>
          </w:tcPr>
          <w:p>
            <w:pPr>
              <w:snapToGrid w:val="0"/>
              <w:jc w:val="both"/>
              <w:rPr>
                <w:rFonts w:cs="Calibri"/>
              </w:rPr>
            </w:pPr>
            <w:r>
              <w:rPr>
                <w:rFonts w:hint="eastAsia"/>
              </w:rPr>
              <w:t>★为了保证系统整体兼容性，与LED显示屏为同一品牌。</w:t>
            </w:r>
          </w:p>
        </w:tc>
      </w:tr>
    </w:tbl>
    <w:p/>
    <w:p>
      <w:pPr>
        <w:pStyle w:val="3"/>
        <w:numPr>
          <w:ilvl w:val="1"/>
          <w:numId w:val="1"/>
        </w:numPr>
        <w:spacing w:before="0" w:after="0" w:line="360" w:lineRule="auto"/>
        <w:rPr>
          <w:rFonts w:ascii="宋体" w:hAnsi="宋体" w:eastAsia="宋体"/>
          <w:sz w:val="30"/>
          <w:szCs w:val="30"/>
        </w:rPr>
      </w:pPr>
      <w:bookmarkStart w:id="3" w:name="_Toc85795418"/>
      <w:r>
        <w:rPr>
          <w:rFonts w:ascii="宋体" w:hAnsi="宋体" w:eastAsia="宋体"/>
          <w:sz w:val="30"/>
          <w:szCs w:val="30"/>
        </w:rPr>
        <w:t>无线投屏器</w:t>
      </w:r>
    </w:p>
    <w:tbl>
      <w:tblPr>
        <w:tblStyle w:val="10"/>
        <w:tblW w:w="822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jc w:val="center"/>
              <w:rPr>
                <w:b/>
                <w:color w:val="000000"/>
              </w:rPr>
            </w:pPr>
            <w:r>
              <w:rPr>
                <w:rFonts w:hint="eastAsia"/>
                <w:b/>
                <w:color w:val="000000"/>
              </w:rPr>
              <w:t>技术指标</w:t>
            </w:r>
          </w:p>
        </w:tc>
        <w:tc>
          <w:tcPr>
            <w:tcW w:w="6972" w:type="dxa"/>
            <w:vAlign w:val="center"/>
          </w:tcPr>
          <w:p>
            <w:pPr>
              <w:jc w:val="center"/>
              <w:rPr>
                <w:b/>
                <w:color w:val="000000"/>
              </w:rPr>
            </w:pPr>
            <w:r>
              <w:rPr>
                <w:rFonts w:hint="eastAsia"/>
                <w:b/>
                <w:color w:val="000000"/>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jc w:val="center"/>
              <w:rPr>
                <w:color w:val="000000"/>
                <w:lang w:bidi="ar"/>
              </w:rPr>
            </w:pPr>
            <w:r>
              <w:rPr>
                <w:rFonts w:hint="eastAsia"/>
                <w:color w:val="000000"/>
                <w:lang w:bidi="ar"/>
              </w:rPr>
              <w:t>箱体要求</w:t>
            </w:r>
          </w:p>
        </w:tc>
        <w:tc>
          <w:tcPr>
            <w:tcW w:w="6972" w:type="dxa"/>
          </w:tcPr>
          <w:p>
            <w:pPr>
              <w:rPr>
                <w:color w:val="000000"/>
                <w:lang w:bidi="ar"/>
              </w:rPr>
            </w:pPr>
            <w:r>
              <w:rPr>
                <w:color w:val="000000"/>
                <w:lang w:bidi="ar"/>
              </w:rPr>
              <w:t>4K输出，双2K画面混投</w:t>
            </w:r>
          </w:p>
          <w:p>
            <w:pPr>
              <w:rPr>
                <w:color w:val="000000"/>
                <w:lang w:bidi="ar"/>
              </w:rPr>
            </w:pPr>
            <w:r>
              <w:rPr>
                <w:color w:val="000000"/>
                <w:lang w:bidi="ar"/>
              </w:rPr>
              <w:t>支持windows、安卓、苹果投屏</w:t>
            </w:r>
          </w:p>
          <w:p>
            <w:pPr>
              <w:rPr>
                <w:color w:val="000000"/>
                <w:lang w:bidi="ar"/>
              </w:rPr>
            </w:pPr>
            <w:r>
              <w:rPr>
                <w:color w:val="000000"/>
                <w:lang w:bidi="ar"/>
              </w:rPr>
              <w:t>自定义壁纸</w:t>
            </w:r>
          </w:p>
        </w:tc>
      </w:tr>
    </w:tbl>
    <w:p/>
    <w:bookmarkEnd w:id="3"/>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配电柜</w:t>
      </w:r>
    </w:p>
    <w:tbl>
      <w:tblPr>
        <w:tblStyle w:val="10"/>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7267" w:type="dxa"/>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pStyle w:val="18"/>
              <w:ind w:firstLine="0" w:firstLineChars="0"/>
              <w:rPr>
                <w:rFonts w:ascii="宋体" w:hAnsi="宋体" w:eastAsia="宋体" w:cs="仿宋"/>
              </w:rPr>
            </w:pPr>
            <w:r>
              <w:rPr>
                <w:rFonts w:hint="eastAsia" w:ascii="宋体" w:hAnsi="宋体" w:eastAsia="宋体" w:cs="仿宋"/>
              </w:rPr>
              <w:t>基本要求</w:t>
            </w:r>
          </w:p>
        </w:tc>
        <w:tc>
          <w:tcPr>
            <w:tcW w:w="7267" w:type="dxa"/>
          </w:tcPr>
          <w:p>
            <w:pPr>
              <w:pStyle w:val="18"/>
              <w:ind w:firstLine="0" w:firstLineChars="0"/>
              <w:rPr>
                <w:rFonts w:ascii="宋体" w:hAnsi="宋体" w:eastAsia="宋体" w:cs="仿宋"/>
              </w:rPr>
            </w:pPr>
            <w:r>
              <w:t>≥</w:t>
            </w:r>
            <w:r>
              <w:rPr>
                <w:rFonts w:ascii="宋体" w:hAnsi="宋体" w:eastAsia="宋体" w:cs="仿宋"/>
              </w:rPr>
              <w:t>10KW</w:t>
            </w:r>
            <w:r>
              <w:rPr>
                <w:rFonts w:hint="eastAsia" w:ascii="宋体" w:hAnsi="宋体" w:eastAsia="宋体" w:cs="仿宋"/>
              </w:rPr>
              <w:t>，</w:t>
            </w:r>
            <w:r>
              <w:rPr>
                <w:rFonts w:ascii="宋体" w:hAnsi="宋体" w:eastAsia="宋体" w:cs="仿宋"/>
              </w:rPr>
              <w:t>具备过压、过流、欠压、短路、断路以及漏电保护措施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jc w:val="center"/>
              <w:rPr>
                <w:rFonts w:cs="仿宋"/>
              </w:rPr>
            </w:pPr>
            <w:r>
              <w:rPr>
                <w:rFonts w:hint="eastAsia" w:cs="仿宋"/>
              </w:rPr>
              <w:t>控制功能</w:t>
            </w:r>
          </w:p>
        </w:tc>
        <w:tc>
          <w:tcPr>
            <w:tcW w:w="7267" w:type="dxa"/>
          </w:tcPr>
          <w:p>
            <w:pPr>
              <w:pStyle w:val="18"/>
              <w:ind w:firstLine="0" w:firstLineChars="0"/>
              <w:rPr>
                <w:rFonts w:ascii="宋体" w:hAnsi="宋体" w:eastAsia="宋体" w:cs="仿宋"/>
              </w:rPr>
            </w:pPr>
            <w:r>
              <w:rPr>
                <w:rFonts w:ascii="宋体" w:hAnsi="宋体" w:eastAsia="宋体" w:cs="仿宋"/>
              </w:rPr>
              <w:t>PLC控制系统，可执行远程开关机操作</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调音台</w:t>
      </w:r>
    </w:p>
    <w:tbl>
      <w:tblPr>
        <w:tblStyle w:val="10"/>
        <w:tblW w:w="4952" w:type="pct"/>
        <w:jc w:val="center"/>
        <w:tblLayout w:type="autofit"/>
        <w:tblCellMar>
          <w:top w:w="0" w:type="dxa"/>
          <w:left w:w="108" w:type="dxa"/>
          <w:bottom w:w="0" w:type="dxa"/>
          <w:right w:w="108" w:type="dxa"/>
        </w:tblCellMar>
      </w:tblPr>
      <w:tblGrid>
        <w:gridCol w:w="2032"/>
        <w:gridCol w:w="6408"/>
      </w:tblGrid>
      <w:tr>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1.≥6个话筒/12个线路输入(4个单声道+4个立体声)</w:t>
            </w:r>
          </w:p>
          <w:p>
            <w:pPr>
              <w:pStyle w:val="18"/>
              <w:ind w:firstLine="0" w:firstLineChars="0"/>
              <w:rPr>
                <w:rFonts w:ascii="宋体" w:hAnsi="宋体" w:eastAsia="宋体" w:cs="仿宋"/>
              </w:rPr>
            </w:pPr>
            <w:r>
              <w:rPr>
                <w:rFonts w:ascii="宋体" w:hAnsi="宋体" w:eastAsia="宋体" w:cs="仿宋"/>
              </w:rPr>
              <w:t>2.≥2编组母线+1立体声母线</w:t>
            </w:r>
          </w:p>
          <w:p>
            <w:pPr>
              <w:pStyle w:val="18"/>
              <w:ind w:firstLine="0" w:firstLineChars="0"/>
              <w:rPr>
                <w:rFonts w:ascii="宋体" w:hAnsi="宋体" w:eastAsia="宋体" w:cs="仿宋"/>
              </w:rPr>
            </w:pPr>
            <w:r>
              <w:rPr>
                <w:rFonts w:ascii="宋体" w:hAnsi="宋体" w:eastAsia="宋体" w:cs="仿宋"/>
              </w:rPr>
              <w:t>3. ≥2 AUX(包括FX)</w:t>
            </w:r>
          </w:p>
          <w:p>
            <w:pPr>
              <w:pStyle w:val="18"/>
              <w:ind w:firstLine="0" w:firstLineChars="0"/>
              <w:rPr>
                <w:rFonts w:ascii="宋体" w:hAnsi="宋体" w:eastAsia="宋体" w:cs="仿宋"/>
              </w:rPr>
            </w:pPr>
            <w:r>
              <w:rPr>
                <w:rFonts w:ascii="宋体" w:hAnsi="宋体" w:eastAsia="宋体" w:cs="仿宋"/>
              </w:rPr>
              <w:t>4.“D-PRE”话放，带有倒向晶体管电路。</w:t>
            </w:r>
          </w:p>
          <w:p>
            <w:pPr>
              <w:pStyle w:val="18"/>
              <w:ind w:firstLine="0" w:firstLineChars="0"/>
              <w:rPr>
                <w:rFonts w:ascii="宋体" w:hAnsi="宋体" w:eastAsia="宋体" w:cs="仿宋"/>
              </w:rPr>
            </w:pPr>
            <w:r>
              <w:rPr>
                <w:rFonts w:ascii="宋体" w:hAnsi="宋体" w:eastAsia="宋体" w:cs="仿宋"/>
              </w:rPr>
              <w:t>5.单旋钮压缩器</w:t>
            </w:r>
          </w:p>
          <w:p>
            <w:pPr>
              <w:pStyle w:val="18"/>
              <w:ind w:firstLine="0" w:firstLineChars="0"/>
              <w:rPr>
                <w:rFonts w:ascii="宋体" w:hAnsi="宋体" w:eastAsia="宋体" w:cs="仿宋"/>
              </w:rPr>
            </w:pPr>
            <w:r>
              <w:rPr>
                <w:rFonts w:ascii="宋体" w:hAnsi="宋体" w:eastAsia="宋体" w:cs="仿宋"/>
              </w:rPr>
              <w:t>6.单声道输入通道上的PAD开关</w:t>
            </w:r>
          </w:p>
          <w:p>
            <w:pPr>
              <w:pStyle w:val="18"/>
              <w:ind w:firstLine="0" w:firstLineChars="0"/>
              <w:rPr>
                <w:rFonts w:ascii="宋体" w:hAnsi="宋体" w:eastAsia="宋体" w:cs="仿宋"/>
              </w:rPr>
            </w:pPr>
            <w:r>
              <w:rPr>
                <w:rFonts w:ascii="宋体" w:hAnsi="宋体" w:eastAsia="宋体" w:cs="仿宋"/>
              </w:rPr>
              <w:t>7.+48V幻象供电</w:t>
            </w:r>
          </w:p>
          <w:p>
            <w:pPr>
              <w:pStyle w:val="18"/>
              <w:ind w:firstLine="0" w:firstLineChars="0"/>
              <w:rPr>
                <w:rFonts w:ascii="宋体" w:hAnsi="宋体" w:eastAsia="宋体" w:cs="仿宋"/>
              </w:rPr>
            </w:pPr>
            <w:r>
              <w:rPr>
                <w:rFonts w:ascii="宋体" w:hAnsi="宋体" w:eastAsia="宋体" w:cs="仿宋"/>
              </w:rPr>
              <w:t>8.总谐波失真:≤0.02%；</w:t>
            </w:r>
          </w:p>
          <w:p>
            <w:pPr>
              <w:pStyle w:val="18"/>
              <w:ind w:firstLine="0" w:firstLineChars="0"/>
              <w:rPr>
                <w:rFonts w:ascii="宋体" w:hAnsi="宋体" w:eastAsia="宋体" w:cs="仿宋"/>
              </w:rPr>
            </w:pPr>
            <w:r>
              <w:rPr>
                <w:rFonts w:ascii="宋体" w:hAnsi="宋体" w:eastAsia="宋体" w:cs="仿宋"/>
              </w:rPr>
              <w:t>9.频响:20Hz～20kHz；</w:t>
            </w:r>
          </w:p>
          <w:p>
            <w:pPr>
              <w:pStyle w:val="18"/>
              <w:ind w:firstLine="0" w:firstLineChars="0"/>
              <w:rPr>
                <w:rFonts w:ascii="宋体" w:hAnsi="宋体" w:eastAsia="宋体" w:cs="仿宋"/>
              </w:rPr>
            </w:pPr>
            <w:r>
              <w:rPr>
                <w:rFonts w:ascii="宋体" w:hAnsi="宋体" w:eastAsia="宋体" w:cs="仿宋"/>
              </w:rPr>
              <w:t>10.耗电:≤40w；</w:t>
            </w:r>
          </w:p>
        </w:tc>
      </w:tr>
    </w:tbl>
    <w:p/>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二分频全频音箱</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▲1.单元结构LF:8"×1，HF:1.35"×1</w:t>
            </w:r>
          </w:p>
          <w:p>
            <w:pPr>
              <w:pStyle w:val="18"/>
              <w:ind w:firstLine="0" w:firstLineChars="0"/>
              <w:rPr>
                <w:rFonts w:ascii="宋体" w:hAnsi="宋体" w:eastAsia="宋体" w:cs="仿宋"/>
              </w:rPr>
            </w:pPr>
            <w:r>
              <w:rPr>
                <w:rFonts w:ascii="宋体" w:hAnsi="宋体" w:eastAsia="宋体" w:cs="仿宋"/>
              </w:rPr>
              <w:t>2.频响范围(±3dB)65-20,000Hz</w:t>
            </w:r>
          </w:p>
          <w:p>
            <w:pPr>
              <w:pStyle w:val="18"/>
              <w:ind w:firstLine="0" w:firstLineChars="0"/>
              <w:rPr>
                <w:rFonts w:ascii="宋体" w:hAnsi="宋体" w:eastAsia="宋体" w:cs="仿宋"/>
              </w:rPr>
            </w:pPr>
            <w:r>
              <w:rPr>
                <w:rFonts w:ascii="宋体" w:hAnsi="宋体" w:eastAsia="宋体" w:cs="仿宋"/>
              </w:rPr>
              <w:t>3.灵敏度（折算到1m，1W）：≥95±2dB</w:t>
            </w:r>
          </w:p>
          <w:p>
            <w:pPr>
              <w:pStyle w:val="18"/>
              <w:ind w:firstLine="0" w:firstLineChars="0"/>
              <w:rPr>
                <w:rFonts w:ascii="宋体" w:hAnsi="宋体" w:eastAsia="宋体" w:cs="仿宋"/>
              </w:rPr>
            </w:pPr>
            <w:r>
              <w:rPr>
                <w:rFonts w:ascii="宋体" w:hAnsi="宋体" w:eastAsia="宋体" w:cs="仿宋"/>
              </w:rPr>
              <w:t>4.最大声压级≥120±2dB</w:t>
            </w:r>
          </w:p>
          <w:p>
            <w:pPr>
              <w:pStyle w:val="18"/>
              <w:ind w:firstLine="0" w:firstLineChars="0"/>
              <w:rPr>
                <w:rFonts w:ascii="宋体" w:hAnsi="宋体" w:eastAsia="宋体" w:cs="仿宋"/>
              </w:rPr>
            </w:pPr>
            <w:r>
              <w:rPr>
                <w:rFonts w:ascii="宋体" w:hAnsi="宋体" w:eastAsia="宋体" w:cs="仿宋"/>
              </w:rPr>
              <w:t>5.输入阻抗≥8Ω</w:t>
            </w:r>
          </w:p>
          <w:p>
            <w:pPr>
              <w:pStyle w:val="18"/>
              <w:ind w:firstLine="0" w:firstLineChars="0"/>
              <w:rPr>
                <w:rFonts w:ascii="宋体" w:hAnsi="宋体" w:eastAsia="宋体" w:cs="仿宋"/>
              </w:rPr>
            </w:pPr>
            <w:r>
              <w:rPr>
                <w:rFonts w:ascii="宋体" w:hAnsi="宋体" w:eastAsia="宋体" w:cs="仿宋"/>
              </w:rPr>
              <w:t>6.额定功率≥150W</w:t>
            </w:r>
          </w:p>
          <w:p>
            <w:pPr>
              <w:pStyle w:val="18"/>
              <w:ind w:firstLine="0" w:firstLineChars="0"/>
              <w:rPr>
                <w:rFonts w:ascii="宋体" w:hAnsi="宋体" w:eastAsia="宋体" w:cs="仿宋"/>
              </w:rPr>
            </w:pPr>
            <w:r>
              <w:rPr>
                <w:rFonts w:ascii="宋体" w:hAnsi="宋体" w:eastAsia="宋体" w:cs="仿宋"/>
              </w:rPr>
              <w:t>▲为保证产品稳定，投标时需提供“一种防潮防腐蚀防氧化的音圈”的证明文件以保证产品具有防潮防腐蚀防氧化的音圈（提供认证证书复印件并加盖</w:t>
            </w:r>
            <w:r>
              <w:rPr>
                <w:rFonts w:hint="eastAsia" w:ascii="宋体" w:hAnsi="宋体" w:eastAsia="宋体" w:cs="仿宋"/>
              </w:rPr>
              <w:t>制造商</w:t>
            </w:r>
            <w:r>
              <w:rPr>
                <w:rFonts w:ascii="宋体" w:hAnsi="宋体" w:eastAsia="宋体" w:cs="仿宋"/>
              </w:rPr>
              <w:t>公章）；</w:t>
            </w:r>
          </w:p>
          <w:p>
            <w:pPr>
              <w:pStyle w:val="18"/>
              <w:ind w:firstLine="0" w:firstLineChars="0"/>
              <w:rPr>
                <w:rFonts w:ascii="宋体" w:hAnsi="宋体" w:eastAsia="宋体" w:cs="仿宋"/>
              </w:rPr>
            </w:pPr>
            <w:r>
              <w:rPr>
                <w:rFonts w:ascii="宋体" w:hAnsi="宋体" w:eastAsia="宋体" w:cs="仿宋"/>
              </w:rPr>
              <w:t>▲为保证产品稳定，投标时需提供“一种气流源强制散热扬声器”的证明文件以保证产品的稳定性以及使用寿命（提供认证证书复印件并加盖</w:t>
            </w:r>
            <w:r>
              <w:rPr>
                <w:rFonts w:hint="eastAsia" w:ascii="宋体" w:hAnsi="宋体" w:eastAsia="宋体" w:cs="仿宋"/>
              </w:rPr>
              <w:t>制造商</w:t>
            </w:r>
            <w:r>
              <w:rPr>
                <w:rFonts w:ascii="宋体" w:hAnsi="宋体" w:eastAsia="宋体" w:cs="仿宋"/>
              </w:rPr>
              <w:t>公章）；</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数字前级音频处理器</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▲1. 支持≥ 2路输入</w:t>
            </w:r>
            <w:r>
              <w:rPr>
                <w:rFonts w:hint="eastAsia" w:ascii="宋体" w:hAnsi="宋体" w:eastAsia="宋体" w:cs="仿宋"/>
              </w:rPr>
              <w:t>、</w:t>
            </w:r>
            <w:r>
              <w:rPr>
                <w:rFonts w:ascii="宋体" w:hAnsi="宋体" w:eastAsia="宋体" w:cs="仿宋"/>
              </w:rPr>
              <w:t>≥6路输出，可灵活组合多种分频模式，高、低通分频点均可达20Hz～20KHz</w:t>
            </w:r>
          </w:p>
          <w:p>
            <w:pPr>
              <w:pStyle w:val="18"/>
              <w:ind w:firstLine="0" w:firstLineChars="0"/>
              <w:rPr>
                <w:rFonts w:ascii="宋体" w:hAnsi="宋体" w:eastAsia="宋体" w:cs="仿宋"/>
              </w:rPr>
            </w:pPr>
            <w:r>
              <w:rPr>
                <w:rFonts w:ascii="宋体" w:hAnsi="宋体" w:eastAsia="宋体" w:cs="仿宋"/>
              </w:rPr>
              <w:t>▲2.提供USB和RS485接口可连接电脑，通过RS485接口可最多连接250台机器和超过1500米的距离外用电脑来控制；</w:t>
            </w:r>
          </w:p>
          <w:p>
            <w:pPr>
              <w:pStyle w:val="18"/>
              <w:ind w:firstLine="0" w:firstLineChars="0"/>
              <w:rPr>
                <w:rFonts w:ascii="宋体" w:hAnsi="宋体" w:eastAsia="宋体" w:cs="仿宋"/>
              </w:rPr>
            </w:pPr>
            <w:r>
              <w:rPr>
                <w:rFonts w:ascii="宋体" w:hAnsi="宋体" w:eastAsia="宋体" w:cs="仿宋"/>
              </w:rPr>
              <w:t>3.直接用面板的功能键和拔轮进行功能设置或是连接电脑通过PC控制软件来控制，均十分方便、直观和简洁,单机可存储≥30种用户程序</w:t>
            </w:r>
          </w:p>
          <w:p>
            <w:pPr>
              <w:pStyle w:val="18"/>
              <w:ind w:firstLine="0" w:firstLineChars="0"/>
              <w:rPr>
                <w:rFonts w:ascii="宋体" w:hAnsi="宋体" w:eastAsia="宋体" w:cs="仿宋"/>
              </w:rPr>
            </w:pPr>
            <w:r>
              <w:rPr>
                <w:rFonts w:ascii="宋体" w:hAnsi="宋体" w:eastAsia="宋体" w:cs="仿宋"/>
              </w:rPr>
              <w:t>4.每个输入和输出均有6段独立的参量均衡，调节增益范围可达±20dB，同时输出通道的均衡还可选择Lo-shelf和Hi-shelf两种斜坡方式</w:t>
            </w:r>
          </w:p>
          <w:p>
            <w:pPr>
              <w:pStyle w:val="18"/>
              <w:ind w:firstLine="0" w:firstLineChars="0"/>
              <w:rPr>
                <w:rFonts w:ascii="宋体" w:hAnsi="宋体" w:eastAsia="宋体" w:cs="仿宋"/>
              </w:rPr>
            </w:pPr>
            <w:r>
              <w:rPr>
                <w:rFonts w:ascii="宋体" w:hAnsi="宋体" w:eastAsia="宋体" w:cs="仿宋"/>
              </w:rPr>
              <w:t>5. 2×24LCD蓝色背光显示功能设置，6段LED显示输入/输出的精确数字电平表、哑音及编辑状态</w:t>
            </w:r>
          </w:p>
          <w:p>
            <w:pPr>
              <w:pStyle w:val="18"/>
              <w:ind w:firstLine="0" w:firstLineChars="0"/>
              <w:rPr>
                <w:rFonts w:ascii="宋体" w:hAnsi="宋体" w:eastAsia="宋体" w:cs="仿宋"/>
              </w:rPr>
            </w:pPr>
            <w:r>
              <w:rPr>
                <w:rFonts w:ascii="宋体" w:hAnsi="宋体" w:eastAsia="宋体" w:cs="仿宋"/>
              </w:rPr>
              <w:t>6.输出通道还可控制增益、压限及选择输入通道信号，并能将某通道的所有参数复制到另外一个通道并能进行联动控制                                                                                                             ▲为保证系统稳定性，投标时需提供第三方权威机构（CNAS或CMA认证的检验机构）的检测报告（提供复印件并加盖</w:t>
            </w:r>
            <w:r>
              <w:rPr>
                <w:rFonts w:hint="eastAsia" w:ascii="宋体" w:hAnsi="宋体" w:eastAsia="宋体" w:cs="仿宋"/>
              </w:rPr>
              <w:t>制造商公</w:t>
            </w:r>
            <w:r>
              <w:rPr>
                <w:rFonts w:ascii="宋体" w:hAnsi="宋体" w:eastAsia="宋体" w:cs="仿宋"/>
              </w:rPr>
              <w:t>章）</w:t>
            </w:r>
          </w:p>
          <w:p>
            <w:pPr>
              <w:pStyle w:val="18"/>
              <w:ind w:firstLine="0" w:firstLineChars="0"/>
              <w:rPr>
                <w:rFonts w:ascii="宋体" w:hAnsi="宋体" w:eastAsia="宋体" w:cs="仿宋"/>
              </w:rPr>
            </w:pP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自动反馈抑制器</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1.64/128超取样24-bitA/D和D/A转换，高解析度</w:t>
            </w:r>
          </w:p>
          <w:p>
            <w:pPr>
              <w:pStyle w:val="18"/>
              <w:ind w:firstLine="0" w:firstLineChars="0"/>
              <w:rPr>
                <w:rFonts w:ascii="宋体" w:hAnsi="宋体" w:eastAsia="宋体" w:cs="仿宋"/>
              </w:rPr>
            </w:pPr>
            <w:r>
              <w:rPr>
                <w:rFonts w:ascii="宋体" w:hAnsi="宋体" w:eastAsia="宋体" w:cs="仿宋"/>
              </w:rPr>
              <w:t>2.每个声道≥12个频道反馈自动搜寻，智能处理</w:t>
            </w:r>
          </w:p>
          <w:p>
            <w:pPr>
              <w:pStyle w:val="18"/>
              <w:ind w:firstLine="0" w:firstLineChars="0"/>
              <w:rPr>
                <w:rFonts w:ascii="宋体" w:hAnsi="宋体" w:eastAsia="宋体" w:cs="仿宋"/>
              </w:rPr>
            </w:pPr>
            <w:r>
              <w:rPr>
                <w:rFonts w:ascii="宋体" w:hAnsi="宋体" w:eastAsia="宋体" w:cs="仿宋"/>
              </w:rPr>
              <w:t>3.单点模式自动搜寻并处理和锁定陷波频点，直到手动复位或重新设置</w:t>
            </w:r>
          </w:p>
          <w:p>
            <w:pPr>
              <w:pStyle w:val="18"/>
              <w:ind w:firstLine="0" w:firstLineChars="0"/>
              <w:rPr>
                <w:rFonts w:ascii="宋体" w:hAnsi="宋体" w:eastAsia="宋体" w:cs="仿宋"/>
              </w:rPr>
            </w:pPr>
            <w:r>
              <w:rPr>
                <w:rFonts w:ascii="宋体" w:hAnsi="宋体" w:eastAsia="宋体" w:cs="仿宋"/>
              </w:rPr>
              <w:t>4.手动模式可设置≥2×12个滤波器的所有参数，包括频率、Q值等</w:t>
            </w:r>
          </w:p>
          <w:p>
            <w:pPr>
              <w:pStyle w:val="18"/>
              <w:ind w:firstLine="0" w:firstLineChars="0"/>
              <w:rPr>
                <w:rFonts w:ascii="宋体" w:hAnsi="宋体" w:eastAsia="宋体" w:cs="仿宋"/>
              </w:rPr>
            </w:pPr>
            <w:r>
              <w:rPr>
                <w:rFonts w:ascii="宋体" w:hAnsi="宋体" w:eastAsia="宋体" w:cs="仿宋"/>
              </w:rPr>
              <w:t>5.两个并行处理块，左右声道可单独或并联调整</w:t>
            </w:r>
          </w:p>
          <w:p>
            <w:pPr>
              <w:pStyle w:val="18"/>
              <w:ind w:firstLine="0" w:firstLineChars="0"/>
              <w:rPr>
                <w:rFonts w:ascii="宋体" w:hAnsi="宋体" w:eastAsia="宋体" w:cs="仿宋"/>
              </w:rPr>
            </w:pPr>
            <w:r>
              <w:rPr>
                <w:rFonts w:ascii="宋体" w:hAnsi="宋体" w:eastAsia="宋体" w:cs="仿宋"/>
              </w:rPr>
              <w:t>6.24-bit高性能DSP处理器，保证了信号的解析度和动态范围</w:t>
            </w:r>
          </w:p>
          <w:p>
            <w:pPr>
              <w:pStyle w:val="18"/>
              <w:ind w:firstLine="0" w:firstLineChars="0"/>
              <w:rPr>
                <w:rFonts w:ascii="宋体" w:hAnsi="宋体" w:eastAsia="宋体" w:cs="仿宋"/>
              </w:rPr>
            </w:pPr>
            <w:r>
              <w:rPr>
                <w:rFonts w:ascii="宋体" w:hAnsi="宋体" w:eastAsia="宋体" w:cs="仿宋"/>
              </w:rPr>
              <w:t>7.背光2×16字符LCD显示</w:t>
            </w:r>
          </w:p>
          <w:p>
            <w:pPr>
              <w:pStyle w:val="18"/>
              <w:ind w:firstLine="0" w:firstLineChars="0"/>
              <w:rPr>
                <w:rFonts w:ascii="宋体" w:hAnsi="宋体" w:eastAsia="宋体" w:cs="仿宋"/>
              </w:rPr>
            </w:pPr>
            <w:r>
              <w:rPr>
                <w:rFonts w:ascii="宋体" w:hAnsi="宋体" w:eastAsia="宋体" w:cs="仿宋"/>
              </w:rPr>
              <w:t>▲为保证系统稳定性，投标时需提供中国质量认证中心的检测报告（提供复印件加盖公章）</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电源时序器</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1.独立的八路大功率电源输出，万能插座，可满足多种三级的电源插座，如国标插座、美标插座以及欧标插座等；还可满足二级欧式的圆头插座；</w:t>
            </w:r>
          </w:p>
          <w:p>
            <w:pPr>
              <w:pStyle w:val="18"/>
              <w:ind w:firstLine="0" w:firstLineChars="0"/>
              <w:rPr>
                <w:rFonts w:ascii="宋体" w:hAnsi="宋体" w:eastAsia="宋体" w:cs="仿宋"/>
              </w:rPr>
            </w:pPr>
            <w:r>
              <w:rPr>
                <w:rFonts w:ascii="宋体" w:hAnsi="宋体" w:eastAsia="宋体" w:cs="仿宋"/>
              </w:rPr>
              <w:t>3.八路通道开关状态可由面板控制操作和显示；通过面板一键开关，可时序关启通道，实现时序功能；</w:t>
            </w:r>
          </w:p>
          <w:p>
            <w:pPr>
              <w:pStyle w:val="18"/>
              <w:ind w:firstLine="0" w:firstLineChars="0"/>
              <w:rPr>
                <w:rFonts w:ascii="宋体" w:hAnsi="宋体" w:eastAsia="宋体" w:cs="仿宋"/>
              </w:rPr>
            </w:pPr>
            <w:r>
              <w:rPr>
                <w:rFonts w:ascii="宋体" w:hAnsi="宋体" w:eastAsia="宋体" w:cs="仿宋"/>
              </w:rPr>
              <w:t>4.电源输出:8路，万能插座</w:t>
            </w:r>
          </w:p>
          <w:p>
            <w:pPr>
              <w:pStyle w:val="18"/>
              <w:ind w:firstLine="0" w:firstLineChars="0"/>
              <w:rPr>
                <w:rFonts w:ascii="宋体" w:hAnsi="宋体" w:eastAsia="宋体" w:cs="仿宋"/>
              </w:rPr>
            </w:pPr>
            <w:r>
              <w:rPr>
                <w:rFonts w:ascii="宋体" w:hAnsi="宋体" w:eastAsia="宋体" w:cs="仿宋"/>
              </w:rPr>
              <w:t>5.单路负荷:≤10A</w:t>
            </w:r>
          </w:p>
          <w:p>
            <w:pPr>
              <w:pStyle w:val="18"/>
              <w:ind w:firstLine="0" w:firstLineChars="0"/>
              <w:rPr>
                <w:rFonts w:ascii="宋体" w:hAnsi="宋体" w:eastAsia="宋体" w:cs="仿宋"/>
              </w:rPr>
            </w:pPr>
            <w:r>
              <w:rPr>
                <w:rFonts w:ascii="宋体" w:hAnsi="宋体" w:eastAsia="宋体" w:cs="仿宋"/>
              </w:rPr>
              <w:t>6.控制方式:手动顺序启动、短路信号触发控制。</w:t>
            </w:r>
          </w:p>
          <w:p>
            <w:pPr>
              <w:pStyle w:val="18"/>
              <w:ind w:firstLine="0" w:firstLineChars="0"/>
              <w:rPr>
                <w:rFonts w:ascii="宋体" w:hAnsi="宋体" w:eastAsia="宋体" w:cs="仿宋"/>
              </w:rPr>
            </w:pPr>
            <w:r>
              <w:rPr>
                <w:rFonts w:ascii="宋体" w:hAnsi="宋体" w:eastAsia="宋体" w:cs="仿宋"/>
              </w:rPr>
              <w:t>7.电源容量:总容量≥220V，16A</w:t>
            </w:r>
          </w:p>
          <w:p>
            <w:pPr>
              <w:pStyle w:val="18"/>
              <w:ind w:firstLine="0" w:firstLineChars="0"/>
              <w:rPr>
                <w:rFonts w:ascii="宋体" w:hAnsi="宋体" w:eastAsia="宋体" w:cs="仿宋"/>
              </w:rPr>
            </w:pPr>
            <w:r>
              <w:rPr>
                <w:rFonts w:ascii="宋体" w:hAnsi="宋体" w:eastAsia="宋体" w:cs="仿宋"/>
              </w:rPr>
              <w:t>8.时序间隔: ≤1.5s</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专业立体声功放</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1.双声道立体声专业功率放大器；</w:t>
            </w:r>
          </w:p>
          <w:p>
            <w:pPr>
              <w:pStyle w:val="18"/>
              <w:ind w:firstLine="0" w:firstLineChars="0"/>
              <w:rPr>
                <w:rFonts w:ascii="宋体" w:hAnsi="宋体" w:eastAsia="宋体" w:cs="仿宋"/>
              </w:rPr>
            </w:pPr>
            <w:r>
              <w:rPr>
                <w:rFonts w:ascii="宋体" w:hAnsi="宋体" w:eastAsia="宋体" w:cs="仿宋"/>
              </w:rPr>
              <w:t>2.有双声道、单声道和BTL桥接三种输出方式供选择；</w:t>
            </w:r>
          </w:p>
          <w:p>
            <w:pPr>
              <w:pStyle w:val="18"/>
              <w:ind w:firstLine="0" w:firstLineChars="0"/>
              <w:rPr>
                <w:rFonts w:ascii="宋体" w:hAnsi="宋体" w:eastAsia="宋体" w:cs="仿宋"/>
              </w:rPr>
            </w:pPr>
            <w:r>
              <w:rPr>
                <w:rFonts w:ascii="宋体" w:hAnsi="宋体" w:eastAsia="宋体" w:cs="仿宋"/>
              </w:rPr>
              <w:t>▲4.内置温度补偿技术，高温下仍然维持稳定的工作状态。</w:t>
            </w:r>
          </w:p>
          <w:p>
            <w:pPr>
              <w:pStyle w:val="18"/>
              <w:ind w:firstLine="0" w:firstLineChars="0"/>
              <w:rPr>
                <w:rFonts w:ascii="宋体" w:hAnsi="宋体" w:eastAsia="宋体" w:cs="仿宋"/>
              </w:rPr>
            </w:pPr>
            <w:r>
              <w:rPr>
                <w:rFonts w:ascii="宋体" w:hAnsi="宋体" w:eastAsia="宋体" w:cs="仿宋"/>
              </w:rPr>
              <w:t>▲5.具备智能保护模式，具有短路保护、直流保护、电源通断多种保护和告警功能；</w:t>
            </w:r>
          </w:p>
          <w:p>
            <w:pPr>
              <w:pStyle w:val="18"/>
              <w:ind w:firstLine="0" w:firstLineChars="0"/>
              <w:rPr>
                <w:rFonts w:ascii="宋体" w:hAnsi="宋体" w:eastAsia="宋体" w:cs="仿宋"/>
              </w:rPr>
            </w:pPr>
            <w:r>
              <w:rPr>
                <w:rFonts w:ascii="宋体" w:hAnsi="宋体" w:eastAsia="宋体" w:cs="仿宋"/>
              </w:rPr>
              <w:t>6.内置先进的整机模拟限幅式保护，即使在过载失真时也不会对扬声器系统造成损害。</w:t>
            </w:r>
          </w:p>
          <w:p>
            <w:pPr>
              <w:pStyle w:val="18"/>
              <w:ind w:firstLine="0" w:firstLineChars="0"/>
              <w:rPr>
                <w:rFonts w:ascii="宋体" w:hAnsi="宋体" w:eastAsia="宋体" w:cs="仿宋"/>
              </w:rPr>
            </w:pPr>
            <w:r>
              <w:rPr>
                <w:rFonts w:ascii="宋体" w:hAnsi="宋体" w:eastAsia="宋体" w:cs="仿宋"/>
              </w:rPr>
              <w:t>7.电源采用先进的防冲击保护设计，无论功率再大也不会对交流电网电压及音响产生冲击。</w:t>
            </w:r>
          </w:p>
          <w:p>
            <w:pPr>
              <w:pStyle w:val="18"/>
              <w:ind w:firstLine="0" w:firstLineChars="0"/>
              <w:rPr>
                <w:rFonts w:ascii="宋体" w:hAnsi="宋体" w:eastAsia="宋体" w:cs="仿宋"/>
              </w:rPr>
            </w:pPr>
            <w:r>
              <w:rPr>
                <w:rFonts w:ascii="宋体" w:hAnsi="宋体" w:eastAsia="宋体" w:cs="仿宋"/>
              </w:rPr>
              <w:t>8.额定输出/每声道,8Ω≥230W.额定输出/每声道,4Ω≥350W额定输出/桥接,8Ω≥700W</w:t>
            </w:r>
          </w:p>
          <w:p>
            <w:pPr>
              <w:pStyle w:val="18"/>
              <w:ind w:firstLine="0" w:firstLineChars="0"/>
              <w:rPr>
                <w:rFonts w:ascii="宋体" w:hAnsi="宋体" w:eastAsia="宋体" w:cs="仿宋"/>
              </w:rPr>
            </w:pPr>
            <w:r>
              <w:rPr>
                <w:rFonts w:ascii="宋体" w:hAnsi="宋体" w:eastAsia="宋体" w:cs="仿宋"/>
              </w:rPr>
              <w:t>9.输入灵敏度≥1.2dBV</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真分集无线话筒</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1：PLL双频道锁相环回路设计；</w:t>
            </w:r>
          </w:p>
          <w:p>
            <w:pPr>
              <w:pStyle w:val="18"/>
              <w:ind w:firstLine="0" w:firstLineChars="0"/>
              <w:rPr>
                <w:rFonts w:ascii="宋体" w:hAnsi="宋体" w:eastAsia="宋体" w:cs="仿宋"/>
              </w:rPr>
            </w:pPr>
            <w:r>
              <w:rPr>
                <w:rFonts w:ascii="宋体" w:hAnsi="宋体" w:eastAsia="宋体" w:cs="仿宋"/>
              </w:rPr>
              <w:t>2：UHF200频道PLL数字锁定自动通讯功能；</w:t>
            </w:r>
          </w:p>
          <w:p>
            <w:pPr>
              <w:pStyle w:val="18"/>
              <w:ind w:firstLine="0" w:firstLineChars="0"/>
              <w:rPr>
                <w:rFonts w:ascii="宋体" w:hAnsi="宋体" w:eastAsia="宋体" w:cs="仿宋"/>
              </w:rPr>
            </w:pPr>
            <w:r>
              <w:rPr>
                <w:rFonts w:ascii="宋体" w:hAnsi="宋体" w:eastAsia="宋体" w:cs="仿宋"/>
              </w:rPr>
              <w:t>3：显示屏显示功能(显示频率、频道、静噪、电平等)；</w:t>
            </w:r>
          </w:p>
          <w:p>
            <w:pPr>
              <w:pStyle w:val="18"/>
              <w:ind w:firstLine="0" w:firstLineChars="0"/>
              <w:rPr>
                <w:rFonts w:ascii="宋体" w:hAnsi="宋体" w:eastAsia="宋体" w:cs="仿宋"/>
              </w:rPr>
            </w:pPr>
            <w:r>
              <w:rPr>
                <w:rFonts w:ascii="宋体" w:hAnsi="宋体" w:eastAsia="宋体" w:cs="仿宋"/>
              </w:rPr>
              <w:t>4:发射功率调节，高功率14dBm; 低功率6dBm；</w:t>
            </w:r>
          </w:p>
          <w:p>
            <w:pPr>
              <w:pStyle w:val="18"/>
              <w:ind w:firstLine="0" w:firstLineChars="0"/>
              <w:rPr>
                <w:rFonts w:ascii="宋体" w:hAnsi="宋体" w:eastAsia="宋体" w:cs="仿宋"/>
              </w:rPr>
            </w:pPr>
            <w:r>
              <w:rPr>
                <w:rFonts w:ascii="宋体" w:hAnsi="宋体" w:eastAsia="宋体" w:cs="仿宋"/>
              </w:rPr>
              <w:t>5：频率响应：120Hz-16KHz(±3dB)；</w:t>
            </w:r>
          </w:p>
          <w:p>
            <w:pPr>
              <w:pStyle w:val="18"/>
              <w:ind w:firstLine="0" w:firstLineChars="0"/>
              <w:rPr>
                <w:rFonts w:ascii="宋体" w:hAnsi="宋体" w:eastAsia="宋体" w:cs="仿宋"/>
              </w:rPr>
            </w:pPr>
            <w:r>
              <w:rPr>
                <w:rFonts w:ascii="宋体" w:hAnsi="宋体" w:eastAsia="宋体" w:cs="仿宋"/>
              </w:rPr>
              <w:t>6：综合信噪比：≥73dB；</w:t>
            </w:r>
          </w:p>
          <w:p>
            <w:pPr>
              <w:pStyle w:val="18"/>
              <w:ind w:firstLine="0" w:firstLineChars="0"/>
              <w:rPr>
                <w:rFonts w:ascii="宋体" w:hAnsi="宋体" w:eastAsia="宋体" w:cs="仿宋"/>
              </w:rPr>
            </w:pPr>
            <w:r>
              <w:rPr>
                <w:rFonts w:ascii="宋体" w:hAnsi="宋体" w:eastAsia="宋体" w:cs="仿宋"/>
              </w:rPr>
              <w:t>7:发射机工作时间8小时以上；</w:t>
            </w:r>
          </w:p>
          <w:p>
            <w:pPr>
              <w:pStyle w:val="18"/>
              <w:ind w:firstLine="0" w:firstLineChars="0"/>
              <w:rPr>
                <w:rFonts w:ascii="宋体" w:hAnsi="宋体" w:eastAsia="宋体" w:cs="仿宋"/>
              </w:rPr>
            </w:pPr>
            <w:r>
              <w:rPr>
                <w:rFonts w:ascii="宋体" w:hAnsi="宋体" w:eastAsia="宋体" w:cs="仿宋"/>
              </w:rPr>
              <w:t>8.含1台一拖二接收机及2只手持式话筒.</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中控主机</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1：采用可编程控制平台，中英文可编程界面；</w:t>
            </w:r>
          </w:p>
          <w:p>
            <w:pPr>
              <w:pStyle w:val="18"/>
              <w:ind w:firstLine="0" w:firstLineChars="0"/>
              <w:rPr>
                <w:rFonts w:ascii="宋体" w:hAnsi="宋体" w:eastAsia="宋体" w:cs="仿宋"/>
              </w:rPr>
            </w:pPr>
            <w:r>
              <w:rPr>
                <w:rFonts w:ascii="宋体" w:hAnsi="宋体" w:eastAsia="宋体" w:cs="仿宋"/>
              </w:rPr>
              <w:t>★2：全面支持远程网络控制，支持控制TCP/UDP协议设备，支持Android 、IOS、Web、PC控制端与受控设备同步；</w:t>
            </w:r>
          </w:p>
          <w:p>
            <w:pPr>
              <w:pStyle w:val="18"/>
              <w:ind w:firstLine="0" w:firstLineChars="0"/>
              <w:rPr>
                <w:rFonts w:ascii="宋体" w:hAnsi="宋体" w:eastAsia="宋体" w:cs="仿宋"/>
              </w:rPr>
            </w:pPr>
            <w:r>
              <w:rPr>
                <w:rFonts w:ascii="宋体" w:hAnsi="宋体" w:eastAsia="宋体" w:cs="仿宋"/>
              </w:rPr>
              <w:t>★3：功能卡插卡式架构，既可插在主机，任意搭配，也可分布式放置，通过48V PoE交换或12V电源适配器供电，网络化交换数据；（要求生产厂家提供中控主机设备外观截图证明并加盖厂家公章）</w:t>
            </w:r>
          </w:p>
          <w:p>
            <w:pPr>
              <w:pStyle w:val="18"/>
              <w:ind w:firstLine="0" w:firstLineChars="0"/>
              <w:rPr>
                <w:rFonts w:ascii="宋体" w:hAnsi="宋体" w:eastAsia="宋体" w:cs="仿宋"/>
              </w:rPr>
            </w:pPr>
            <w:r>
              <w:rPr>
                <w:rFonts w:ascii="宋体" w:hAnsi="宋体" w:eastAsia="宋体" w:cs="仿宋"/>
              </w:rPr>
              <w:t>4：自带节目播放器，可播放MP3、WAV、WMA、FLAC、APE、 AAC、M4R、，M4A、 OGG、WV格式音乐；</w:t>
            </w:r>
          </w:p>
          <w:p>
            <w:pPr>
              <w:pStyle w:val="18"/>
              <w:ind w:firstLine="0" w:firstLineChars="0"/>
              <w:rPr>
                <w:rFonts w:ascii="宋体" w:hAnsi="宋体" w:eastAsia="宋体" w:cs="仿宋"/>
              </w:rPr>
            </w:pPr>
            <w:r>
              <w:rPr>
                <w:rFonts w:ascii="宋体" w:hAnsi="宋体" w:eastAsia="宋体" w:cs="仿宋"/>
              </w:rPr>
              <w:t>5：支持语音识别，远程控制设备；</w:t>
            </w:r>
          </w:p>
          <w:p>
            <w:pPr>
              <w:pStyle w:val="18"/>
              <w:ind w:firstLine="0" w:firstLineChars="0"/>
              <w:rPr>
                <w:rFonts w:ascii="宋体" w:hAnsi="宋体" w:eastAsia="宋体" w:cs="仿宋"/>
              </w:rPr>
            </w:pPr>
            <w:r>
              <w:rPr>
                <w:rFonts w:ascii="宋体" w:hAnsi="宋体" w:eastAsia="宋体" w:cs="仿宋"/>
              </w:rPr>
              <w:t>6：</w:t>
            </w:r>
            <w:bookmarkStart w:id="4" w:name="OLE_LINK3"/>
            <w:r>
              <w:rPr>
                <w:rFonts w:ascii="宋体" w:hAnsi="宋体" w:eastAsia="宋体" w:cs="仿宋"/>
              </w:rPr>
              <w:t>≥</w:t>
            </w:r>
            <w:bookmarkEnd w:id="4"/>
            <w:r>
              <w:rPr>
                <w:rFonts w:ascii="宋体" w:hAnsi="宋体" w:eastAsia="宋体" w:cs="仿宋"/>
              </w:rPr>
              <w:t>4.3寸触摸屏；</w:t>
            </w:r>
          </w:p>
          <w:p>
            <w:pPr>
              <w:pStyle w:val="18"/>
              <w:ind w:firstLine="0" w:firstLineChars="0"/>
              <w:rPr>
                <w:rFonts w:ascii="宋体" w:hAnsi="宋体" w:eastAsia="宋体" w:cs="仿宋"/>
              </w:rPr>
            </w:pPr>
            <w:r>
              <w:rPr>
                <w:rFonts w:ascii="宋体" w:hAnsi="宋体" w:eastAsia="宋体" w:cs="仿宋"/>
              </w:rPr>
              <w:t>7：≥8路弱电继电器控制接口；常开型独立继电器；</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电源控制器</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1.支持手动控制：前面板≥8个硅胶发光按键控制，带状态指示，紧急情况下可以手动控制继电器的开关</w:t>
            </w:r>
          </w:p>
          <w:p>
            <w:pPr>
              <w:pStyle w:val="18"/>
              <w:ind w:firstLine="0" w:firstLineChars="0"/>
              <w:rPr>
                <w:rFonts w:ascii="宋体" w:hAnsi="宋体" w:eastAsia="宋体" w:cs="仿宋"/>
              </w:rPr>
            </w:pPr>
            <w:r>
              <w:rPr>
                <w:rFonts w:ascii="宋体" w:hAnsi="宋体" w:eastAsia="宋体" w:cs="仿宋"/>
              </w:rPr>
              <w:t>2.支持IO控制：在机器的内部有≥8个IO接口，在没有中控的情况下也能使用</w:t>
            </w:r>
          </w:p>
          <w:p>
            <w:pPr>
              <w:pStyle w:val="18"/>
              <w:ind w:firstLine="0" w:firstLineChars="0"/>
              <w:rPr>
                <w:rFonts w:ascii="宋体" w:hAnsi="宋体" w:eastAsia="宋体" w:cs="仿宋"/>
              </w:rPr>
            </w:pPr>
            <w:r>
              <w:rPr>
                <w:rFonts w:ascii="宋体" w:hAnsi="宋体" w:eastAsia="宋体" w:cs="仿宋"/>
              </w:rPr>
              <w:t>3.支持ID选择：旋转的ID切换设置网络ID身份代码</w:t>
            </w:r>
          </w:p>
          <w:p>
            <w:pPr>
              <w:pStyle w:val="18"/>
              <w:ind w:firstLine="0" w:firstLineChars="0"/>
              <w:rPr>
                <w:rFonts w:ascii="宋体" w:hAnsi="宋体" w:eastAsia="宋体" w:cs="仿宋"/>
              </w:rPr>
            </w:pPr>
            <w:r>
              <w:rPr>
                <w:rFonts w:ascii="宋体" w:hAnsi="宋体" w:eastAsia="宋体" w:cs="仿宋"/>
              </w:rPr>
              <w:t>4.每路继电器都有三连接点的接线柱,具有常开与常闭的功能</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8键墙面面板</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按键数量：≥8个</w:t>
            </w:r>
            <w:r>
              <w:rPr>
                <w:rFonts w:hint="eastAsia" w:ascii="宋体" w:hAnsi="宋体" w:eastAsia="宋体" w:cs="仿宋"/>
              </w:rPr>
              <w:t>，</w:t>
            </w:r>
            <w:r>
              <w:rPr>
                <w:rFonts w:ascii="宋体" w:hAnsi="宋体" w:eastAsia="宋体" w:cs="仿宋"/>
              </w:rPr>
              <w:t>每个按键均可编辑，最多可支持8个按键场景；</w:t>
            </w:r>
          </w:p>
          <w:p>
            <w:pPr>
              <w:pStyle w:val="18"/>
              <w:ind w:firstLine="0" w:firstLineChars="0"/>
              <w:rPr>
                <w:rFonts w:ascii="宋体" w:hAnsi="宋体" w:eastAsia="宋体" w:cs="仿宋"/>
              </w:rPr>
            </w:pPr>
            <w:r>
              <w:rPr>
                <w:rFonts w:ascii="宋体" w:hAnsi="宋体" w:eastAsia="宋体" w:cs="仿宋"/>
              </w:rPr>
              <w:t>按键、指示灯一体化；</w:t>
            </w:r>
          </w:p>
          <w:p>
            <w:pPr>
              <w:pStyle w:val="18"/>
              <w:ind w:firstLine="0" w:firstLineChars="0"/>
              <w:rPr>
                <w:rFonts w:ascii="宋体" w:hAnsi="宋体" w:eastAsia="宋体" w:cs="仿宋"/>
              </w:rPr>
            </w:pPr>
            <w:r>
              <w:rPr>
                <w:rFonts w:ascii="宋体" w:hAnsi="宋体" w:eastAsia="宋体" w:cs="仿宋"/>
              </w:rPr>
              <w:t>标准电工86插座式墙上面板；</w:t>
            </w:r>
          </w:p>
          <w:p>
            <w:pPr>
              <w:pStyle w:val="18"/>
              <w:ind w:firstLine="0" w:firstLineChars="0"/>
              <w:rPr>
                <w:rFonts w:ascii="宋体" w:hAnsi="宋体" w:eastAsia="宋体" w:cs="仿宋"/>
              </w:rPr>
            </w:pPr>
            <w:r>
              <w:rPr>
                <w:rFonts w:ascii="宋体" w:hAnsi="宋体" w:eastAsia="宋体" w:cs="仿宋"/>
              </w:rPr>
              <w:t>通讯方式：UDP；</w:t>
            </w:r>
          </w:p>
          <w:p>
            <w:pPr>
              <w:pStyle w:val="18"/>
              <w:ind w:firstLine="0" w:firstLineChars="0"/>
              <w:rPr>
                <w:rFonts w:ascii="宋体" w:hAnsi="宋体" w:eastAsia="宋体" w:cs="仿宋"/>
              </w:rPr>
            </w:pPr>
            <w:r>
              <w:rPr>
                <w:rFonts w:ascii="宋体" w:hAnsi="宋体" w:eastAsia="宋体" w:cs="仿宋"/>
              </w:rPr>
              <w:t>供电方式：PoE48V；</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无线平板电脑</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尺寸</w:t>
            </w:r>
            <w:r>
              <w:rPr>
                <w:rFonts w:ascii="宋体" w:hAnsi="宋体" w:eastAsia="宋体" w:cs="仿宋"/>
              </w:rPr>
              <w:t>≥10.2英寸</w:t>
            </w:r>
            <w:r>
              <w:rPr>
                <w:rFonts w:hint="eastAsia" w:ascii="宋体" w:hAnsi="宋体" w:eastAsia="宋体" w:cs="仿宋"/>
              </w:rPr>
              <w:t>，内存</w:t>
            </w:r>
            <w:r>
              <w:rPr>
                <w:rFonts w:ascii="宋体" w:hAnsi="宋体" w:eastAsia="宋体" w:cs="仿宋"/>
              </w:rPr>
              <w:t>≥256G</w:t>
            </w:r>
            <w:r>
              <w:rPr>
                <w:rFonts w:hint="eastAsia" w:ascii="宋体" w:hAnsi="宋体" w:eastAsia="宋体" w:cs="仿宋"/>
              </w:rPr>
              <w:t>，</w:t>
            </w:r>
            <w:r>
              <w:rPr>
                <w:rFonts w:ascii="宋体" w:hAnsi="宋体" w:eastAsia="宋体" w:cs="仿宋"/>
              </w:rPr>
              <w:t>分辨率≥2160*1620</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视频会议主机</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处理器</w:t>
            </w:r>
            <w:r>
              <w:rPr>
                <w:rFonts w:ascii="宋体" w:hAnsi="宋体" w:eastAsia="宋体" w:cs="仿宋"/>
              </w:rPr>
              <w:t>i7</w:t>
            </w:r>
            <w:r>
              <w:rPr>
                <w:rFonts w:hint="eastAsia" w:ascii="宋体" w:hAnsi="宋体" w:eastAsia="宋体" w:cs="仿宋"/>
              </w:rPr>
              <w:t>或更高、内存</w:t>
            </w:r>
            <w:r>
              <w:rPr>
                <w:rFonts w:ascii="宋体" w:hAnsi="宋体" w:eastAsia="宋体" w:cs="仿宋"/>
              </w:rPr>
              <w:t xml:space="preserve">≥16G </w:t>
            </w:r>
            <w:r>
              <w:rPr>
                <w:rFonts w:hint="eastAsia" w:ascii="宋体" w:hAnsi="宋体" w:eastAsia="宋体" w:cs="仿宋"/>
              </w:rPr>
              <w:t>存储</w:t>
            </w:r>
            <w:r>
              <w:rPr>
                <w:rFonts w:ascii="宋体" w:hAnsi="宋体" w:eastAsia="宋体" w:cs="仿宋"/>
              </w:rPr>
              <w:t>≥256G SSD+1TB，双DP视频输出口</w:t>
            </w:r>
          </w:p>
          <w:p>
            <w:pPr>
              <w:pStyle w:val="18"/>
              <w:ind w:firstLine="0" w:firstLineChars="0"/>
              <w:rPr>
                <w:rFonts w:ascii="宋体" w:hAnsi="宋体" w:eastAsia="宋体" w:cs="仿宋"/>
              </w:rPr>
            </w:pPr>
            <w:r>
              <w:rPr>
                <w:rFonts w:ascii="宋体" w:hAnsi="宋体" w:eastAsia="宋体" w:cs="仿宋"/>
              </w:rPr>
              <w:t>≥23.8寸显示器</w:t>
            </w:r>
          </w:p>
          <w:p>
            <w:pPr>
              <w:pStyle w:val="18"/>
              <w:ind w:firstLine="0" w:firstLineChars="0"/>
              <w:rPr>
                <w:rFonts w:ascii="宋体" w:hAnsi="宋体" w:eastAsia="宋体" w:cs="仿宋"/>
              </w:rPr>
            </w:pPr>
            <w:r>
              <w:rPr>
                <w:rFonts w:ascii="宋体" w:hAnsi="宋体" w:eastAsia="宋体" w:cs="仿宋"/>
              </w:rPr>
              <w:t>无线键盘鼠标</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视频会议摄像机</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图像传感器1/2.8英寸高品质HDCMOS传感器</w:t>
            </w:r>
          </w:p>
          <w:p>
            <w:pPr>
              <w:pStyle w:val="18"/>
              <w:ind w:firstLine="0" w:firstLineChars="0"/>
              <w:rPr>
                <w:rFonts w:ascii="宋体" w:hAnsi="宋体" w:eastAsia="宋体" w:cs="仿宋"/>
              </w:rPr>
            </w:pPr>
            <w:r>
              <w:rPr>
                <w:rFonts w:ascii="宋体" w:hAnsi="宋体" w:eastAsia="宋体" w:cs="仿宋"/>
              </w:rPr>
              <w:t>有效像素16：9 210万有效象素</w:t>
            </w:r>
          </w:p>
          <w:p>
            <w:pPr>
              <w:pStyle w:val="18"/>
              <w:ind w:firstLine="0" w:firstLineChars="0"/>
              <w:rPr>
                <w:rFonts w:ascii="宋体" w:hAnsi="宋体" w:eastAsia="宋体" w:cs="仿宋"/>
              </w:rPr>
            </w:pPr>
            <w:r>
              <w:rPr>
                <w:rFonts w:ascii="宋体" w:hAnsi="宋体" w:eastAsia="宋体" w:cs="仿宋"/>
              </w:rPr>
              <w:t>视频格式1080P60/50/30/25</w:t>
            </w:r>
          </w:p>
          <w:p>
            <w:pPr>
              <w:pStyle w:val="18"/>
              <w:ind w:firstLine="0" w:firstLineChars="0"/>
              <w:rPr>
                <w:rFonts w:ascii="宋体" w:hAnsi="宋体" w:eastAsia="宋体" w:cs="仿宋"/>
              </w:rPr>
            </w:pPr>
            <w:r>
              <w:rPr>
                <w:rFonts w:ascii="宋体" w:hAnsi="宋体" w:eastAsia="宋体" w:cs="仿宋"/>
              </w:rPr>
              <w:t>镜头变倍12倍光学变倍</w:t>
            </w:r>
          </w:p>
          <w:p>
            <w:pPr>
              <w:pStyle w:val="18"/>
              <w:ind w:firstLine="0" w:firstLineChars="0"/>
              <w:rPr>
                <w:rFonts w:ascii="宋体" w:hAnsi="宋体" w:eastAsia="宋体" w:cs="仿宋"/>
              </w:rPr>
            </w:pPr>
            <w:r>
              <w:rPr>
                <w:rFonts w:ascii="宋体" w:hAnsi="宋体" w:eastAsia="宋体" w:cs="仿宋"/>
              </w:rPr>
              <w:t>预置位256个</w:t>
            </w:r>
          </w:p>
          <w:p>
            <w:pPr>
              <w:pStyle w:val="18"/>
              <w:ind w:firstLine="0" w:firstLineChars="0"/>
              <w:rPr>
                <w:rFonts w:ascii="宋体" w:hAnsi="宋体" w:eastAsia="宋体" w:cs="仿宋"/>
              </w:rPr>
            </w:pPr>
            <w:r>
              <w:rPr>
                <w:rFonts w:ascii="宋体" w:hAnsi="宋体" w:eastAsia="宋体" w:cs="仿宋"/>
              </w:rPr>
              <w:t>视频接口：HDMI、HD-SDI(3G)</w:t>
            </w:r>
          </w:p>
          <w:p>
            <w:pPr>
              <w:pStyle w:val="18"/>
              <w:ind w:firstLine="0" w:firstLineChars="0"/>
              <w:rPr>
                <w:rFonts w:ascii="宋体" w:hAnsi="宋体" w:eastAsia="宋体" w:cs="仿宋"/>
              </w:rPr>
            </w:pPr>
            <w:r>
              <w:rPr>
                <w:rFonts w:ascii="宋体" w:hAnsi="宋体" w:eastAsia="宋体" w:cs="仿宋"/>
              </w:rPr>
              <w:t>控制协议：PELCO,VISCA</w:t>
            </w:r>
          </w:p>
          <w:p>
            <w:pPr>
              <w:pStyle w:val="18"/>
              <w:ind w:firstLine="0" w:firstLineChars="0"/>
              <w:rPr>
                <w:rFonts w:ascii="宋体" w:hAnsi="宋体" w:eastAsia="宋体" w:cs="仿宋"/>
              </w:rPr>
            </w:pPr>
            <w:r>
              <w:rPr>
                <w:rFonts w:ascii="宋体" w:hAnsi="宋体" w:eastAsia="宋体" w:cs="仿宋"/>
              </w:rPr>
              <w:t>控制接口：RS232/RS485</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网络机柜</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标准4</w:t>
            </w:r>
            <w:r>
              <w:rPr>
                <w:rFonts w:ascii="宋体" w:hAnsi="宋体" w:eastAsia="宋体" w:cs="仿宋"/>
              </w:rPr>
              <w:t>2</w:t>
            </w:r>
            <w:r>
              <w:rPr>
                <w:rFonts w:hint="eastAsia" w:ascii="宋体" w:hAnsi="宋体" w:eastAsia="宋体" w:cs="仿宋"/>
              </w:rPr>
              <w:t>U网络机柜</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无线路由器</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无线协议：Wi-Fi 6</w:t>
            </w:r>
          </w:p>
          <w:p>
            <w:pPr>
              <w:pStyle w:val="18"/>
              <w:ind w:firstLine="0" w:firstLineChars="0"/>
              <w:rPr>
                <w:rFonts w:ascii="宋体" w:hAnsi="宋体" w:eastAsia="宋体" w:cs="仿宋"/>
              </w:rPr>
            </w:pPr>
            <w:r>
              <w:rPr>
                <w:rFonts w:ascii="宋体" w:hAnsi="宋体" w:eastAsia="宋体" w:cs="仿宋"/>
              </w:rPr>
              <w:t>无线速率：≥3000M</w:t>
            </w:r>
          </w:p>
          <w:p>
            <w:pPr>
              <w:pStyle w:val="18"/>
              <w:ind w:firstLine="0" w:firstLineChars="0"/>
              <w:rPr>
                <w:rFonts w:ascii="宋体" w:hAnsi="宋体" w:eastAsia="宋体" w:cs="仿宋"/>
              </w:rPr>
            </w:pPr>
            <w:r>
              <w:rPr>
                <w:rFonts w:ascii="宋体" w:hAnsi="宋体" w:eastAsia="宋体" w:cs="仿宋"/>
              </w:rPr>
              <w:t>WAN接入口：千兆网口</w:t>
            </w:r>
          </w:p>
          <w:p>
            <w:pPr>
              <w:pStyle w:val="18"/>
              <w:ind w:firstLine="0" w:firstLineChars="0"/>
              <w:rPr>
                <w:rFonts w:ascii="宋体" w:hAnsi="宋体" w:eastAsia="宋体" w:cs="仿宋"/>
              </w:rPr>
            </w:pPr>
            <w:r>
              <w:rPr>
                <w:rFonts w:ascii="宋体" w:hAnsi="宋体" w:eastAsia="宋体" w:cs="仿宋"/>
              </w:rPr>
              <w:t>LAN输出口：千兆网口</w:t>
            </w:r>
          </w:p>
          <w:p>
            <w:pPr>
              <w:pStyle w:val="18"/>
              <w:ind w:firstLine="0" w:firstLineChars="0"/>
              <w:rPr>
                <w:rFonts w:ascii="宋体" w:hAnsi="宋体" w:eastAsia="宋体" w:cs="仿宋"/>
              </w:rPr>
            </w:pPr>
            <w:r>
              <w:rPr>
                <w:rFonts w:ascii="宋体" w:hAnsi="宋体" w:eastAsia="宋体" w:cs="仿宋"/>
              </w:rPr>
              <w:t>LAN口数量：≥4个</w:t>
            </w:r>
          </w:p>
        </w:tc>
      </w:tr>
    </w:tbl>
    <w:p>
      <w:pPr>
        <w:spacing w:line="276" w:lineRule="auto"/>
        <w:rPr>
          <w:szCs w:val="28"/>
        </w:rPr>
      </w:pPr>
    </w:p>
    <w:p>
      <w:pPr>
        <w:pStyle w:val="3"/>
        <w:numPr>
          <w:ilvl w:val="1"/>
          <w:numId w:val="1"/>
        </w:numPr>
        <w:spacing w:before="0" w:after="0" w:line="360" w:lineRule="auto"/>
        <w:rPr>
          <w:rFonts w:ascii="宋体" w:hAnsi="宋体" w:eastAsia="宋体"/>
          <w:sz w:val="30"/>
          <w:szCs w:val="30"/>
        </w:rPr>
      </w:pPr>
      <w:r>
        <w:rPr>
          <w:rFonts w:hint="eastAsia" w:ascii="宋体" w:hAnsi="宋体" w:eastAsia="宋体"/>
          <w:sz w:val="30"/>
          <w:szCs w:val="30"/>
        </w:rPr>
        <w:t>其他要求</w:t>
      </w:r>
    </w:p>
    <w:p>
      <w:pPr>
        <w:pStyle w:val="4"/>
        <w:numPr>
          <w:ilvl w:val="2"/>
          <w:numId w:val="1"/>
        </w:numPr>
        <w:spacing w:before="0" w:after="0" w:line="360" w:lineRule="auto"/>
        <w:rPr>
          <w:sz w:val="28"/>
          <w:szCs w:val="28"/>
        </w:rPr>
      </w:pPr>
      <w:r>
        <w:rPr>
          <w:rFonts w:hint="eastAsia"/>
          <w:sz w:val="28"/>
          <w:szCs w:val="28"/>
        </w:rPr>
        <w:t>安装与调试服务需求</w:t>
      </w:r>
    </w:p>
    <w:p>
      <w:pPr>
        <w:pStyle w:val="14"/>
        <w:numPr>
          <w:ilvl w:val="0"/>
          <w:numId w:val="2"/>
        </w:numPr>
        <w:spacing w:line="276" w:lineRule="auto"/>
        <w:ind w:firstLineChars="0"/>
        <w:rPr>
          <w:rFonts w:ascii="宋体" w:hAnsi="宋体"/>
          <w:sz w:val="24"/>
          <w:szCs w:val="28"/>
        </w:rPr>
      </w:pPr>
      <w:r>
        <w:rPr>
          <w:rFonts w:hint="eastAsia" w:ascii="宋体" w:hAnsi="宋体"/>
          <w:sz w:val="24"/>
          <w:szCs w:val="28"/>
        </w:rPr>
        <w:t>负责本项目所涵盖的设备的调试工作。</w:t>
      </w:r>
    </w:p>
    <w:p>
      <w:pPr>
        <w:pStyle w:val="14"/>
        <w:numPr>
          <w:ilvl w:val="0"/>
          <w:numId w:val="2"/>
        </w:numPr>
        <w:spacing w:line="276" w:lineRule="auto"/>
        <w:ind w:firstLineChars="0"/>
        <w:rPr>
          <w:rFonts w:ascii="宋体" w:hAnsi="宋体"/>
          <w:sz w:val="24"/>
          <w:szCs w:val="28"/>
        </w:rPr>
      </w:pPr>
      <w:r>
        <w:rPr>
          <w:rFonts w:hint="eastAsia" w:ascii="宋体" w:hAnsi="宋体"/>
          <w:sz w:val="24"/>
          <w:szCs w:val="28"/>
        </w:rPr>
        <w:t>根据用户使用需求，定制便捷的控制模式。</w:t>
      </w:r>
    </w:p>
    <w:p>
      <w:pPr>
        <w:pStyle w:val="14"/>
        <w:numPr>
          <w:ilvl w:val="0"/>
          <w:numId w:val="2"/>
        </w:numPr>
        <w:spacing w:line="276" w:lineRule="auto"/>
        <w:ind w:firstLineChars="0"/>
        <w:rPr>
          <w:rFonts w:ascii="宋体" w:hAnsi="宋体"/>
          <w:sz w:val="24"/>
          <w:szCs w:val="28"/>
        </w:rPr>
      </w:pPr>
      <w:r>
        <w:rPr>
          <w:rFonts w:hint="eastAsia" w:ascii="宋体" w:hAnsi="宋体"/>
          <w:sz w:val="24"/>
          <w:szCs w:val="28"/>
        </w:rPr>
        <w:t>巡检服务：每年至少</w:t>
      </w:r>
      <w:r>
        <w:rPr>
          <w:rFonts w:ascii="宋体" w:hAnsi="宋体"/>
          <w:sz w:val="24"/>
          <w:szCs w:val="28"/>
        </w:rPr>
        <w:t>4</w:t>
      </w:r>
      <w:r>
        <w:rPr>
          <w:rFonts w:hint="eastAsia" w:ascii="宋体" w:hAnsi="宋体"/>
          <w:sz w:val="24"/>
          <w:szCs w:val="28"/>
        </w:rPr>
        <w:t>次的上门巡检服务并出具巡检报告。</w:t>
      </w:r>
    </w:p>
    <w:p>
      <w:pPr>
        <w:pStyle w:val="4"/>
        <w:numPr>
          <w:ilvl w:val="2"/>
          <w:numId w:val="1"/>
        </w:numPr>
        <w:spacing w:before="0" w:after="0" w:line="360" w:lineRule="auto"/>
        <w:rPr>
          <w:sz w:val="28"/>
          <w:szCs w:val="28"/>
        </w:rPr>
      </w:pPr>
      <w:r>
        <w:rPr>
          <w:rFonts w:hint="eastAsia"/>
          <w:sz w:val="28"/>
          <w:szCs w:val="28"/>
        </w:rPr>
        <w:t>产品质保</w:t>
      </w:r>
    </w:p>
    <w:p>
      <w:pPr>
        <w:pStyle w:val="14"/>
        <w:numPr>
          <w:ilvl w:val="0"/>
          <w:numId w:val="3"/>
        </w:numPr>
        <w:spacing w:line="276" w:lineRule="auto"/>
        <w:ind w:firstLineChars="0"/>
        <w:rPr>
          <w:rFonts w:ascii="宋体" w:hAnsi="宋体"/>
          <w:sz w:val="24"/>
          <w:szCs w:val="28"/>
        </w:rPr>
      </w:pPr>
      <w:r>
        <w:rPr>
          <w:rFonts w:hint="eastAsia" w:ascii="宋体" w:hAnsi="宋体"/>
          <w:sz w:val="24"/>
          <w:szCs w:val="28"/>
        </w:rPr>
        <w:t>质保期：所有硬件、软件提供</w:t>
      </w:r>
      <w:r>
        <w:rPr>
          <w:rFonts w:hint="eastAsia" w:ascii="宋体" w:hAnsi="宋体"/>
          <w:b/>
          <w:bCs/>
          <w:sz w:val="24"/>
          <w:szCs w:val="28"/>
        </w:rPr>
        <w:t>三年</w:t>
      </w:r>
      <w:r>
        <w:rPr>
          <w:rFonts w:hint="eastAsia" w:ascii="宋体" w:hAnsi="宋体"/>
          <w:sz w:val="24"/>
          <w:szCs w:val="28"/>
        </w:rPr>
        <w:t>的质保和软件升级服务；</w:t>
      </w:r>
    </w:p>
    <w:p>
      <w:pPr>
        <w:pStyle w:val="14"/>
        <w:numPr>
          <w:ilvl w:val="0"/>
          <w:numId w:val="3"/>
        </w:numPr>
        <w:spacing w:line="276" w:lineRule="auto"/>
        <w:ind w:firstLineChars="0"/>
        <w:rPr>
          <w:rFonts w:ascii="宋体" w:hAnsi="宋体"/>
          <w:sz w:val="24"/>
          <w:szCs w:val="28"/>
        </w:rPr>
      </w:pPr>
      <w:r>
        <w:rPr>
          <w:rFonts w:hint="eastAsia" w:ascii="宋体" w:hAnsi="宋体"/>
          <w:sz w:val="24"/>
          <w:szCs w:val="28"/>
        </w:rPr>
        <w:t>售后服务：中标投标人和厂家应当为用户提供7×24小时技术支持，解答用 户在使用中遇到的问题，及时为用户提出解决问题的建议。</w:t>
      </w:r>
    </w:p>
    <w:p>
      <w:pPr>
        <w:pStyle w:val="14"/>
        <w:numPr>
          <w:ilvl w:val="0"/>
          <w:numId w:val="3"/>
        </w:numPr>
        <w:spacing w:line="276" w:lineRule="auto"/>
        <w:ind w:firstLineChars="0"/>
        <w:rPr>
          <w:rFonts w:ascii="宋体" w:hAnsi="宋体"/>
          <w:sz w:val="24"/>
          <w:szCs w:val="28"/>
        </w:rPr>
      </w:pPr>
      <w:r>
        <w:rPr>
          <w:rFonts w:hint="eastAsia" w:ascii="宋体" w:hAnsi="宋体"/>
          <w:sz w:val="24"/>
          <w:szCs w:val="28"/>
        </w:rPr>
        <w:t>现场维修:用户遇到使用及技术问题，电话咨询不能解决的，中标投标人应在</w:t>
      </w:r>
      <w:r>
        <w:rPr>
          <w:rFonts w:ascii="宋体" w:hAnsi="宋体"/>
          <w:sz w:val="24"/>
          <w:szCs w:val="28"/>
        </w:rPr>
        <w:t>30</w:t>
      </w:r>
      <w:r>
        <w:rPr>
          <w:rFonts w:hint="eastAsia" w:ascii="宋体" w:hAnsi="宋体"/>
          <w:sz w:val="24"/>
          <w:szCs w:val="28"/>
        </w:rPr>
        <w:t>分钟内到达现场维修，无法在</w:t>
      </w:r>
      <w:r>
        <w:rPr>
          <w:rFonts w:ascii="宋体" w:hAnsi="宋体"/>
          <w:sz w:val="24"/>
          <w:szCs w:val="28"/>
        </w:rPr>
        <w:t>24</w:t>
      </w:r>
      <w:r>
        <w:rPr>
          <w:rFonts w:hint="eastAsia" w:ascii="宋体" w:hAnsi="宋体"/>
          <w:sz w:val="24"/>
          <w:szCs w:val="28"/>
        </w:rPr>
        <w:t>小时内解决的，应提供备用机，让用户能够正常使用，无法提供备用机的应承担由此造成的损失。</w:t>
      </w:r>
    </w:p>
    <w:p>
      <w:pPr>
        <w:pStyle w:val="14"/>
        <w:numPr>
          <w:ilvl w:val="0"/>
          <w:numId w:val="3"/>
        </w:numPr>
        <w:spacing w:line="276" w:lineRule="auto"/>
        <w:ind w:firstLineChars="0"/>
        <w:rPr>
          <w:rFonts w:ascii="宋体" w:hAnsi="宋体"/>
          <w:sz w:val="24"/>
          <w:szCs w:val="28"/>
        </w:rPr>
      </w:pPr>
      <w:r>
        <w:rPr>
          <w:rFonts w:hint="eastAsia" w:ascii="宋体" w:hAnsi="宋体"/>
          <w:sz w:val="24"/>
          <w:szCs w:val="28"/>
        </w:rPr>
        <w:t>重大活动期间，提供系统准备和现场保障服务。</w:t>
      </w:r>
    </w:p>
    <w:p>
      <w:pPr>
        <w:spacing w:line="276" w:lineRule="auto"/>
        <w:rPr>
          <w:rFonts w:hint="eastAsia"/>
          <w:szCs w:val="28"/>
        </w:rPr>
      </w:pPr>
      <w:r>
        <w:rPr>
          <w:szCs w:val="28"/>
        </w:rPr>
        <w:br w:type="page"/>
      </w:r>
    </w:p>
    <w:p>
      <w:pPr>
        <w:pStyle w:val="14"/>
        <w:spacing w:line="276" w:lineRule="auto"/>
        <w:ind w:left="425" w:firstLine="0" w:firstLineChars="0"/>
        <w:rPr>
          <w:rFonts w:ascii="宋体" w:hAnsi="宋体"/>
          <w:sz w:val="24"/>
          <w:szCs w:val="28"/>
        </w:rPr>
      </w:pPr>
    </w:p>
    <w:p>
      <w:pPr>
        <w:pStyle w:val="2"/>
        <w:numPr>
          <w:ilvl w:val="0"/>
          <w:numId w:val="1"/>
        </w:numPr>
        <w:spacing w:before="0" w:after="0" w:line="240" w:lineRule="auto"/>
        <w:rPr>
          <w:rFonts w:ascii="宋体" w:hAnsi="宋体" w:eastAsia="宋体"/>
          <w:sz w:val="32"/>
          <w:szCs w:val="32"/>
        </w:rPr>
      </w:pPr>
      <w:r>
        <w:rPr>
          <w:rFonts w:hint="eastAsia" w:ascii="宋体" w:hAnsi="宋体" w:eastAsia="宋体"/>
          <w:sz w:val="32"/>
          <w:szCs w:val="32"/>
        </w:rPr>
        <w:t>评分标准</w:t>
      </w:r>
    </w:p>
    <w:tbl>
      <w:tblPr>
        <w:tblStyle w:val="10"/>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297"/>
        <w:gridCol w:w="469"/>
        <w:gridCol w:w="5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52" w:type="pct"/>
            <w:shd w:val="clear" w:color="auto" w:fill="BFBFBF"/>
            <w:vAlign w:val="center"/>
          </w:tcPr>
          <w:p>
            <w:pPr>
              <w:jc w:val="center"/>
              <w:rPr>
                <w:b/>
              </w:rPr>
            </w:pPr>
            <w:r>
              <w:rPr>
                <w:b/>
              </w:rPr>
              <w:t>评标</w:t>
            </w:r>
          </w:p>
          <w:p>
            <w:pPr>
              <w:jc w:val="center"/>
              <w:rPr>
                <w:b/>
              </w:rPr>
            </w:pPr>
            <w:r>
              <w:rPr>
                <w:b/>
              </w:rPr>
              <w:t>项目</w:t>
            </w:r>
          </w:p>
        </w:tc>
        <w:tc>
          <w:tcPr>
            <w:tcW w:w="755" w:type="pct"/>
            <w:shd w:val="clear" w:color="auto" w:fill="BFBFBF"/>
            <w:vAlign w:val="center"/>
          </w:tcPr>
          <w:p>
            <w:pPr>
              <w:jc w:val="center"/>
              <w:rPr>
                <w:b/>
              </w:rPr>
            </w:pPr>
            <w:r>
              <w:rPr>
                <w:b/>
              </w:rPr>
              <w:t>评标</w:t>
            </w:r>
          </w:p>
          <w:p>
            <w:pPr>
              <w:jc w:val="center"/>
              <w:rPr>
                <w:b/>
              </w:rPr>
            </w:pPr>
            <w:r>
              <w:rPr>
                <w:b/>
              </w:rPr>
              <w:t>分项</w:t>
            </w:r>
          </w:p>
        </w:tc>
        <w:tc>
          <w:tcPr>
            <w:tcW w:w="273" w:type="pct"/>
            <w:shd w:val="clear" w:color="auto" w:fill="BFBFBF"/>
            <w:vAlign w:val="center"/>
          </w:tcPr>
          <w:p>
            <w:pPr>
              <w:jc w:val="center"/>
              <w:rPr>
                <w:b/>
              </w:rPr>
            </w:pPr>
            <w:r>
              <w:rPr>
                <w:b/>
              </w:rPr>
              <w:t>分值</w:t>
            </w:r>
          </w:p>
        </w:tc>
        <w:tc>
          <w:tcPr>
            <w:tcW w:w="3220" w:type="pct"/>
            <w:shd w:val="clear" w:color="auto" w:fill="BFBFBF"/>
            <w:vAlign w:val="center"/>
          </w:tcPr>
          <w:p>
            <w:pPr>
              <w:jc w:val="center"/>
              <w:rPr>
                <w:b/>
              </w:rPr>
            </w:pPr>
            <w:r>
              <w:rPr>
                <w:b/>
              </w:rPr>
              <w:t>子项目及分值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pct"/>
            <w:vAlign w:val="center"/>
          </w:tcPr>
          <w:p>
            <w:pPr>
              <w:jc w:val="center"/>
              <w:rPr>
                <w:color w:val="000000" w:themeColor="text1"/>
                <w:sz w:val="20"/>
                <w:szCs w:val="16"/>
                <w14:textFill>
                  <w14:solidFill>
                    <w14:schemeClr w14:val="tx1"/>
                  </w14:solidFill>
                </w14:textFill>
              </w:rPr>
            </w:pPr>
            <w:r>
              <w:rPr>
                <w:rFonts w:hint="eastAsia"/>
                <w:color w:val="000000" w:themeColor="text1"/>
                <w:szCs w:val="18"/>
                <w14:textFill>
                  <w14:solidFill>
                    <w14:schemeClr w14:val="tx1"/>
                  </w14:solidFill>
                </w14:textFill>
              </w:rPr>
              <w:t>报价评分</w:t>
            </w:r>
          </w:p>
          <w:p>
            <w:pPr>
              <w:jc w:val="center"/>
              <w:rPr>
                <w:bCs/>
                <w:szCs w:val="18"/>
              </w:rPr>
            </w:pPr>
            <w:r>
              <w:rPr>
                <w:rFonts w:hint="eastAsia"/>
                <w:color w:val="000000" w:themeColor="text1"/>
                <w:sz w:val="20"/>
                <w:szCs w:val="16"/>
                <w14:textFill>
                  <w14:solidFill>
                    <w14:schemeClr w14:val="tx1"/>
                  </w14:solidFill>
                </w14:textFill>
              </w:rPr>
              <w:t>（</w:t>
            </w:r>
            <w:r>
              <w:rPr>
                <w:color w:val="000000" w:themeColor="text1"/>
                <w:szCs w:val="18"/>
                <w14:textFill>
                  <w14:solidFill>
                    <w14:schemeClr w14:val="tx1"/>
                  </w14:solidFill>
                </w14:textFill>
              </w:rPr>
              <w:t>30</w:t>
            </w:r>
            <w:r>
              <w:rPr>
                <w:rFonts w:hint="eastAsia"/>
                <w:color w:val="000000" w:themeColor="text1"/>
                <w:szCs w:val="18"/>
                <w14:textFill>
                  <w14:solidFill>
                    <w14:schemeClr w14:val="tx1"/>
                  </w14:solidFill>
                </w14:textFill>
              </w:rPr>
              <w:t>分）</w:t>
            </w:r>
          </w:p>
        </w:tc>
        <w:tc>
          <w:tcPr>
            <w:tcW w:w="755" w:type="pct"/>
            <w:tcBorders>
              <w:bottom w:val="single" w:color="auto" w:sz="4" w:space="0"/>
            </w:tcBorders>
            <w:vAlign w:val="center"/>
          </w:tcPr>
          <w:p>
            <w:pPr>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报价得分</w:t>
            </w:r>
          </w:p>
        </w:tc>
        <w:tc>
          <w:tcPr>
            <w:tcW w:w="273" w:type="pct"/>
            <w:vAlign w:val="center"/>
          </w:tcPr>
          <w:p>
            <w:pPr>
              <w:jc w:val="center"/>
              <w:rPr>
                <w:bCs/>
                <w:szCs w:val="18"/>
              </w:rPr>
            </w:pPr>
            <w:r>
              <w:rPr>
                <w:rFonts w:hint="eastAsia"/>
                <w:bCs/>
                <w:szCs w:val="18"/>
              </w:rPr>
              <w:t>3</w:t>
            </w:r>
            <w:r>
              <w:rPr>
                <w:bCs/>
                <w:szCs w:val="18"/>
              </w:rPr>
              <w:t>0</w:t>
            </w:r>
          </w:p>
        </w:tc>
        <w:tc>
          <w:tcPr>
            <w:tcW w:w="3220" w:type="pct"/>
            <w:vAlign w:val="center"/>
          </w:tcPr>
          <w:p>
            <w:pPr>
              <w:rPr>
                <w:bCs/>
                <w:szCs w:val="18"/>
              </w:rPr>
            </w:pPr>
            <w:r>
              <w:rPr>
                <w:rFonts w:hint="eastAsia"/>
                <w:color w:val="000000" w:themeColor="text1"/>
                <w:szCs w:val="18"/>
                <w14:textFill>
                  <w14:solidFill>
                    <w14:schemeClr w14:val="tx1"/>
                  </w14:solidFill>
                </w14:textFill>
              </w:rPr>
              <w:t>报价分采用低价优先法计算，即满足招标文件要求且投标报价最低的报价为评标基准价，其价格分为满分。其他投标人的价格分按照下列公式计算：报价得分=(评标基准价／投标报价)×</w:t>
            </w:r>
            <w:r>
              <w:rPr>
                <w:color w:val="000000" w:themeColor="text1"/>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52" w:type="pct"/>
            <w:vMerge w:val="restart"/>
            <w:vAlign w:val="center"/>
          </w:tcPr>
          <w:p>
            <w:pPr>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商务</w:t>
            </w:r>
            <w:r>
              <w:rPr>
                <w:color w:val="000000" w:themeColor="text1"/>
                <w:szCs w:val="18"/>
                <w14:textFill>
                  <w14:solidFill>
                    <w14:schemeClr w14:val="tx1"/>
                  </w14:solidFill>
                </w14:textFill>
              </w:rPr>
              <w:t>评审</w:t>
            </w:r>
          </w:p>
          <w:p>
            <w:pPr>
              <w:snapToGrid w:val="0"/>
              <w:jc w:val="center"/>
              <w:rPr>
                <w:bCs/>
                <w:szCs w:val="18"/>
              </w:rPr>
            </w:pPr>
            <w:r>
              <w:rPr>
                <w:color w:val="000000" w:themeColor="text1"/>
                <w:szCs w:val="18"/>
                <w14:textFill>
                  <w14:solidFill>
                    <w14:schemeClr w14:val="tx1"/>
                  </w14:solidFill>
                </w14:textFill>
              </w:rPr>
              <w:t>（</w:t>
            </w:r>
            <w:r>
              <w:rPr>
                <w:rFonts w:hint="eastAsia"/>
                <w:color w:val="000000" w:themeColor="text1"/>
                <w:szCs w:val="18"/>
                <w14:textFill>
                  <w14:solidFill>
                    <w14:schemeClr w14:val="tx1"/>
                  </w14:solidFill>
                </w14:textFill>
              </w:rPr>
              <w:t>1</w:t>
            </w:r>
            <w:r>
              <w:rPr>
                <w:color w:val="000000" w:themeColor="text1"/>
                <w:szCs w:val="18"/>
                <w14:textFill>
                  <w14:solidFill>
                    <w14:schemeClr w14:val="tx1"/>
                  </w14:solidFill>
                </w14:textFill>
              </w:rPr>
              <w:t>2分）</w:t>
            </w:r>
          </w:p>
        </w:tc>
        <w:tc>
          <w:tcPr>
            <w:tcW w:w="755" w:type="pct"/>
            <w:tcBorders>
              <w:top w:val="single" w:color="auto" w:sz="4" w:space="0"/>
            </w:tcBorders>
            <w:shd w:val="clear" w:color="auto" w:fill="auto"/>
            <w:vAlign w:val="center"/>
          </w:tcPr>
          <w:p>
            <w:pPr>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资质证书</w:t>
            </w:r>
          </w:p>
        </w:tc>
        <w:tc>
          <w:tcPr>
            <w:tcW w:w="273" w:type="pct"/>
            <w:shd w:val="clear" w:color="auto" w:fill="auto"/>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3</w:t>
            </w:r>
          </w:p>
        </w:tc>
        <w:tc>
          <w:tcPr>
            <w:tcW w:w="3220" w:type="pct"/>
            <w:shd w:val="clear" w:color="auto" w:fill="auto"/>
            <w:vAlign w:val="center"/>
          </w:tcPr>
          <w:p>
            <w:pP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投标人具备《ISO9001质量管理体系认证证书》、《ISO14001环境管理体系认证证书》、《ISO27001信息安全管理体系认证证书》，提供以上认证证书复印件及其在中国国家认证认可监督管理委员会“全国认证认可信息公共服务平台”（www.cnca.gov.cn）网站查询在</w:t>
            </w:r>
            <w:r>
              <w:rPr>
                <w:color w:val="000000" w:themeColor="text1"/>
                <w:szCs w:val="18"/>
                <w14:textFill>
                  <w14:solidFill>
                    <w14:schemeClr w14:val="tx1"/>
                  </w14:solidFill>
                </w14:textFill>
              </w:rPr>
              <w:t>有效期内的</w:t>
            </w:r>
            <w:r>
              <w:rPr>
                <w:rFonts w:hint="eastAsia"/>
                <w:color w:val="000000" w:themeColor="text1"/>
                <w:szCs w:val="18"/>
                <w14:textFill>
                  <w14:solidFill>
                    <w14:schemeClr w14:val="tx1"/>
                  </w14:solidFill>
                </w14:textFill>
              </w:rPr>
              <w:t xml:space="preserve">截图及网址，并加盖公章。每提供一项得 </w:t>
            </w:r>
            <w:r>
              <w:rPr>
                <w:color w:val="000000" w:themeColor="text1"/>
                <w:szCs w:val="18"/>
                <w14:textFill>
                  <w14:solidFill>
                    <w14:schemeClr w14:val="tx1"/>
                  </w14:solidFill>
                </w14:textFill>
              </w:rPr>
              <w:t>1</w:t>
            </w:r>
            <w:r>
              <w:rPr>
                <w:rFonts w:hint="eastAsia"/>
                <w:color w:val="000000" w:themeColor="text1"/>
                <w:szCs w:val="18"/>
                <w14:textFill>
                  <w14:solidFill>
                    <w14:schemeClr w14:val="tx1"/>
                  </w14:solidFill>
                </w14:textFill>
              </w:rPr>
              <w:t xml:space="preserve"> 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52" w:type="pct"/>
            <w:vMerge w:val="continue"/>
            <w:vAlign w:val="center"/>
          </w:tcPr>
          <w:p>
            <w:pPr>
              <w:jc w:val="center"/>
              <w:rPr>
                <w:bCs/>
                <w:szCs w:val="18"/>
              </w:rPr>
            </w:pPr>
          </w:p>
        </w:tc>
        <w:tc>
          <w:tcPr>
            <w:tcW w:w="755" w:type="pct"/>
            <w:tcBorders>
              <w:top w:val="single" w:color="auto" w:sz="4" w:space="0"/>
            </w:tcBorders>
            <w:vAlign w:val="center"/>
          </w:tcPr>
          <w:p>
            <w:pPr>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类似业绩</w:t>
            </w:r>
          </w:p>
        </w:tc>
        <w:tc>
          <w:tcPr>
            <w:tcW w:w="273" w:type="pct"/>
            <w:vAlign w:val="center"/>
          </w:tcPr>
          <w:p>
            <w:pPr>
              <w:snapToGrid w:val="0"/>
              <w:rPr>
                <w:color w:val="000000" w:themeColor="text1"/>
                <w:szCs w:val="18"/>
                <w14:textFill>
                  <w14:solidFill>
                    <w14:schemeClr w14:val="tx1"/>
                  </w14:solidFill>
                </w14:textFill>
              </w:rPr>
            </w:pPr>
            <w:r>
              <w:rPr>
                <w:color w:val="000000" w:themeColor="text1"/>
                <w:szCs w:val="18"/>
                <w14:textFill>
                  <w14:solidFill>
                    <w14:schemeClr w14:val="tx1"/>
                  </w14:solidFill>
                </w14:textFill>
              </w:rPr>
              <w:t>4</w:t>
            </w:r>
          </w:p>
        </w:tc>
        <w:tc>
          <w:tcPr>
            <w:tcW w:w="3220"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近3年（投标文件递交截止时间往前推算三年内，以合同签订时间为准）</w:t>
            </w:r>
            <w:r>
              <w:rPr>
                <w:rFonts w:hint="eastAsia"/>
                <w:bCs/>
              </w:rPr>
              <w:t>投标人完成过</w:t>
            </w:r>
            <w:r>
              <w:rPr>
                <w:rFonts w:hint="eastAsia"/>
                <w:b/>
                <w:bCs/>
              </w:rPr>
              <w:t>LED显示屏</w:t>
            </w:r>
            <w:r>
              <w:rPr>
                <w:rFonts w:hint="eastAsia"/>
                <w:bCs/>
              </w:rPr>
              <w:t>的业绩</w:t>
            </w:r>
            <w:r>
              <w:rPr>
                <w:rFonts w:hint="eastAsia"/>
                <w:color w:val="000000" w:themeColor="text1"/>
                <w14:textFill>
                  <w14:solidFill>
                    <w14:schemeClr w14:val="tx1"/>
                  </w14:solidFill>
                </w14:textFill>
              </w:rPr>
              <w:t>，每提供一个业绩得</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分，满分</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近3年（投标文件递交截止时间往前推算三年内，以合同签订时间为准）</w:t>
            </w:r>
            <w:r>
              <w:rPr>
                <w:rFonts w:hint="eastAsia"/>
                <w:bCs/>
              </w:rPr>
              <w:t>投标人完成过</w:t>
            </w:r>
            <w:r>
              <w:rPr>
                <w:rFonts w:hint="eastAsia"/>
                <w:b/>
              </w:rPr>
              <w:t>会议系统</w:t>
            </w:r>
            <w:r>
              <w:rPr>
                <w:rFonts w:hint="eastAsia"/>
                <w:bCs/>
              </w:rPr>
              <w:t>的业绩</w:t>
            </w:r>
            <w:r>
              <w:rPr>
                <w:rFonts w:hint="eastAsia"/>
                <w:color w:val="000000" w:themeColor="text1"/>
                <w14:textFill>
                  <w14:solidFill>
                    <w14:schemeClr w14:val="tx1"/>
                  </w14:solidFill>
                </w14:textFill>
              </w:rPr>
              <w:t>，每提供一个业绩得</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分，满分</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分。</w:t>
            </w:r>
          </w:p>
          <w:p>
            <w:pPr>
              <w:rPr>
                <w:color w:val="000000" w:themeColor="text1"/>
                <w14:textFill>
                  <w14:solidFill>
                    <w14:schemeClr w14:val="tx1"/>
                  </w14:solidFill>
                </w14:textFill>
              </w:rPr>
            </w:pPr>
          </w:p>
          <w:p>
            <w:pPr>
              <w:rPr>
                <w:color w:val="000000" w:themeColor="text1"/>
                <w:szCs w:val="18"/>
                <w14:textFill>
                  <w14:solidFill>
                    <w14:schemeClr w14:val="tx1"/>
                  </w14:solidFill>
                </w14:textFill>
              </w:rPr>
            </w:pPr>
            <w:r>
              <w:rPr>
                <w:rFonts w:hint="eastAsia"/>
                <w:color w:val="000000" w:themeColor="text1"/>
                <w14:textFill>
                  <w14:solidFill>
                    <w14:schemeClr w14:val="tx1"/>
                  </w14:solidFill>
                </w14:textFill>
              </w:rPr>
              <w:t>注：须提供合同的复印件作为证明材料，并加盖公章（所提供的合同可以不牵涉到金额等相关商业机密信息，但必须提供供货清单页、合同双方签署页及合同签署双方的完整信息。确定中标后、签合同前复核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52" w:type="pct"/>
            <w:vMerge w:val="restart"/>
            <w:vAlign w:val="center"/>
          </w:tcPr>
          <w:p>
            <w:pPr>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技术评审</w:t>
            </w:r>
          </w:p>
          <w:p>
            <w:pPr>
              <w:snapToGrid w:val="0"/>
              <w:jc w:val="center"/>
              <w:rPr>
                <w:bCs/>
                <w:szCs w:val="18"/>
              </w:rPr>
            </w:pPr>
            <w:r>
              <w:rPr>
                <w:rFonts w:hint="eastAsia"/>
                <w:color w:val="000000" w:themeColor="text1"/>
                <w:szCs w:val="18"/>
                <w14:textFill>
                  <w14:solidFill>
                    <w14:schemeClr w14:val="tx1"/>
                  </w14:solidFill>
                </w14:textFill>
              </w:rPr>
              <w:t>（</w:t>
            </w:r>
            <w:r>
              <w:rPr>
                <w:color w:val="000000" w:themeColor="text1"/>
                <w:szCs w:val="18"/>
                <w14:textFill>
                  <w14:solidFill>
                    <w14:schemeClr w14:val="tx1"/>
                  </w14:solidFill>
                </w14:textFill>
              </w:rPr>
              <w:t>58分）</w:t>
            </w:r>
          </w:p>
        </w:tc>
        <w:tc>
          <w:tcPr>
            <w:tcW w:w="755" w:type="pct"/>
            <w:vAlign w:val="center"/>
          </w:tcPr>
          <w:p>
            <w:pPr>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货物技术指标响应</w:t>
            </w:r>
          </w:p>
        </w:tc>
        <w:tc>
          <w:tcPr>
            <w:tcW w:w="273" w:type="pct"/>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38</w:t>
            </w:r>
          </w:p>
        </w:tc>
        <w:tc>
          <w:tcPr>
            <w:tcW w:w="3220" w:type="pct"/>
            <w:vAlign w:val="center"/>
          </w:tcPr>
          <w:p>
            <w:pP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对本项目中设备技术参数要求逐条做出偏离应答，完全满足招标文件要求得3</w:t>
            </w:r>
            <w:r>
              <w:rPr>
                <w:color w:val="000000" w:themeColor="text1"/>
                <w:szCs w:val="18"/>
                <w14:textFill>
                  <w14:solidFill>
                    <w14:schemeClr w14:val="tx1"/>
                  </w14:solidFill>
                </w14:textFill>
              </w:rPr>
              <w:t>8</w:t>
            </w:r>
            <w:r>
              <w:rPr>
                <w:rFonts w:hint="eastAsia"/>
                <w:color w:val="000000" w:themeColor="text1"/>
                <w:szCs w:val="18"/>
                <w14:textFill>
                  <w14:solidFill>
                    <w14:schemeClr w14:val="tx1"/>
                  </w14:solidFill>
                </w14:textFill>
              </w:rPr>
              <w:t>分，最低0分；</w:t>
            </w:r>
          </w:p>
          <w:p>
            <w:pP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1</w:t>
            </w:r>
            <w:r>
              <w:rPr>
                <w:color w:val="000000" w:themeColor="text1"/>
                <w:szCs w:val="18"/>
                <w14:textFill>
                  <w14:solidFill>
                    <w14:schemeClr w14:val="tx1"/>
                  </w14:solidFill>
                </w14:textFill>
              </w:rPr>
              <w:t>.</w:t>
            </w:r>
            <w:r>
              <w:rPr>
                <w:rFonts w:hint="eastAsia"/>
                <w:color w:val="000000" w:themeColor="text1"/>
                <w:szCs w:val="18"/>
                <w14:textFill>
                  <w14:solidFill>
                    <w14:schemeClr w14:val="tx1"/>
                  </w14:solidFill>
                </w14:textFill>
              </w:rPr>
              <w:t>带“</w:t>
            </w:r>
            <w:r>
              <w:rPr>
                <w:rFonts w:hint="eastAsia" w:ascii="仿宋" w:hAnsi="仿宋" w:eastAsia="仿宋"/>
              </w:rPr>
              <w:t>▲</w:t>
            </w:r>
            <w:r>
              <w:rPr>
                <w:rFonts w:hint="eastAsia"/>
                <w:color w:val="000000" w:themeColor="text1"/>
                <w:szCs w:val="18"/>
                <w14:textFill>
                  <w14:solidFill>
                    <w14:schemeClr w14:val="tx1"/>
                  </w14:solidFill>
                </w14:textFill>
              </w:rPr>
              <w:t>”标识参数指标为关键指标，需进行实质性响应，有负偏离或不满足的，每项扣</w:t>
            </w:r>
            <w:r>
              <w:rPr>
                <w:color w:val="000000" w:themeColor="text1"/>
                <w:szCs w:val="18"/>
                <w14:textFill>
                  <w14:solidFill>
                    <w14:schemeClr w14:val="tx1"/>
                  </w14:solidFill>
                </w14:textFill>
              </w:rPr>
              <w:t>2</w:t>
            </w:r>
            <w:r>
              <w:rPr>
                <w:rFonts w:hint="eastAsia"/>
                <w:color w:val="000000" w:themeColor="text1"/>
                <w:szCs w:val="18"/>
                <w14:textFill>
                  <w14:solidFill>
                    <w14:schemeClr w14:val="tx1"/>
                  </w14:solidFill>
                </w14:textFill>
              </w:rPr>
              <w:t>分，扣完为止；</w:t>
            </w:r>
          </w:p>
          <w:p>
            <w:pPr>
              <w:rPr>
                <w:color w:val="000000" w:themeColor="text1"/>
                <w:szCs w:val="18"/>
                <w14:textFill>
                  <w14:solidFill>
                    <w14:schemeClr w14:val="tx1"/>
                  </w14:solidFill>
                </w14:textFill>
              </w:rPr>
            </w:pPr>
            <w:r>
              <w:rPr>
                <w:color w:val="000000" w:themeColor="text1"/>
                <w:szCs w:val="18"/>
                <w14:textFill>
                  <w14:solidFill>
                    <w14:schemeClr w14:val="tx1"/>
                  </w14:solidFill>
                </w14:textFill>
              </w:rPr>
              <w:t>2.</w:t>
            </w:r>
            <w:r>
              <w:rPr>
                <w:rFonts w:hint="eastAsia"/>
                <w:color w:val="000000" w:themeColor="text1"/>
                <w:szCs w:val="18"/>
                <w14:textFill>
                  <w14:solidFill>
                    <w14:schemeClr w14:val="tx1"/>
                  </w14:solidFill>
                </w14:textFill>
              </w:rPr>
              <w:t>一般指标一项不满足扣1分，扣完为止。</w:t>
            </w:r>
          </w:p>
          <w:p>
            <w:pP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w:t>
            </w:r>
            <w:r>
              <w:rPr>
                <w:color w:val="000000" w:themeColor="text1"/>
                <w:szCs w:val="18"/>
                <w14:textFill>
                  <w14:solidFill>
                    <w14:schemeClr w14:val="tx1"/>
                  </w14:solidFill>
                </w14:textFill>
              </w:rPr>
              <w:t>注</w:t>
            </w:r>
            <w:r>
              <w:rPr>
                <w:rFonts w:hint="eastAsia"/>
                <w:color w:val="000000" w:themeColor="text1"/>
                <w:szCs w:val="18"/>
                <w14:textFill>
                  <w14:solidFill>
                    <w14:schemeClr w14:val="tx1"/>
                  </w14:solidFill>
                </w14:textFill>
              </w:rPr>
              <w:t>：对于招标文件中标“</w:t>
            </w:r>
            <w:r>
              <w:rPr>
                <w:rFonts w:hint="eastAsia" w:ascii="仿宋" w:hAnsi="仿宋" w:eastAsia="仿宋"/>
              </w:rPr>
              <w:t>▲</w:t>
            </w:r>
            <w:r>
              <w:rPr>
                <w:rFonts w:hint="eastAsia"/>
                <w:color w:val="000000" w:themeColor="text1"/>
                <w:szCs w:val="18"/>
                <w14:textFill>
                  <w14:solidFill>
                    <w14:schemeClr w14:val="tx1"/>
                  </w14:solidFill>
                </w14:textFill>
              </w:rPr>
              <w:t>”</w:t>
            </w:r>
            <w:r>
              <w:rPr>
                <w:color w:val="000000" w:themeColor="text1"/>
                <w:szCs w:val="18"/>
                <w14:textFill>
                  <w14:solidFill>
                    <w14:schemeClr w14:val="tx1"/>
                  </w14:solidFill>
                </w14:textFill>
              </w:rPr>
              <w:t>指标，必须提供证明材料</w:t>
            </w:r>
            <w:r>
              <w:rPr>
                <w:rFonts w:hint="eastAsia"/>
                <w:color w:val="000000" w:themeColor="text1"/>
                <w:szCs w:val="18"/>
                <w14:textFill>
                  <w14:solidFill>
                    <w14:schemeClr w14:val="tx1"/>
                  </w14:solidFill>
                </w14:textFill>
              </w:rPr>
              <w:t>。</w:t>
            </w:r>
            <w:r>
              <w:rPr>
                <w:color w:val="000000" w:themeColor="text1"/>
                <w:szCs w:val="18"/>
                <w14:textFill>
                  <w14:solidFill>
                    <w14:schemeClr w14:val="tx1"/>
                  </w14:solidFill>
                </w14:textFill>
              </w:rPr>
              <w:t>证明材料包括：公开发布的印刷资料（彩页或产品宣传册）、国家认可的检测机构出具的检测报告、官方网站发布的技术资料截图、设备真实功能截图和招标文件要求的相关证明文件</w:t>
            </w:r>
            <w:r>
              <w:rPr>
                <w:rFonts w:hint="eastAsia"/>
                <w:color w:val="000000" w:themeColor="text1"/>
                <w:szCs w:val="18"/>
                <w14:textFill>
                  <w14:solidFill>
                    <w14:schemeClr w14:val="tx1"/>
                  </w14:solidFill>
                </w14:textFill>
              </w:rPr>
              <w:t>；</w:t>
            </w:r>
            <w:r>
              <w:rPr>
                <w:color w:val="000000" w:themeColor="text1"/>
                <w:szCs w:val="18"/>
                <w14:textFill>
                  <w14:solidFill>
                    <w14:schemeClr w14:val="tx1"/>
                  </w14:solidFill>
                </w14:textFill>
              </w:rPr>
              <w:t>不满足上述要求的视为该条指标未响应。</w:t>
            </w:r>
            <w:r>
              <w:rPr>
                <w:rFonts w:hint="eastAsia"/>
                <w:color w:val="000000" w:themeColor="text1"/>
                <w:szCs w:val="18"/>
                <w14:textFill>
                  <w14:solidFill>
                    <w14:schemeClr w14:val="tx1"/>
                  </w14:solidFill>
                </w14:textFill>
              </w:rPr>
              <w:t>）</w:t>
            </w:r>
          </w:p>
          <w:p>
            <w:pPr>
              <w:rPr>
                <w:color w:val="000000" w:themeColor="text1"/>
                <w:szCs w:val="18"/>
                <w14:textFill>
                  <w14:solidFill>
                    <w14:schemeClr w14:val="tx1"/>
                  </w14:solidFill>
                </w14:textFill>
              </w:rPr>
            </w:pPr>
          </w:p>
          <w:p>
            <w:pPr>
              <w:rPr>
                <w:color w:val="000000" w:themeColor="text1"/>
                <w:szCs w:val="18"/>
                <w14:textFill>
                  <w14:solidFill>
                    <w14:schemeClr w14:val="tx1"/>
                  </w14:solidFill>
                </w14:textFill>
              </w:rPr>
            </w:pPr>
          </w:p>
          <w:p>
            <w:pPr>
              <w:rPr>
                <w:rFonts w:hint="eastAsia"/>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2" w:type="pct"/>
            <w:vMerge w:val="continue"/>
            <w:vAlign w:val="center"/>
          </w:tcPr>
          <w:p>
            <w:pPr>
              <w:jc w:val="center"/>
              <w:rPr>
                <w:bCs/>
                <w:szCs w:val="18"/>
              </w:rPr>
            </w:pPr>
          </w:p>
        </w:tc>
        <w:tc>
          <w:tcPr>
            <w:tcW w:w="755" w:type="pct"/>
            <w:vAlign w:val="center"/>
          </w:tcPr>
          <w:p>
            <w:pPr>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产品技术能力</w:t>
            </w:r>
          </w:p>
        </w:tc>
        <w:tc>
          <w:tcPr>
            <w:tcW w:w="273" w:type="pct"/>
            <w:vAlign w:val="center"/>
          </w:tcPr>
          <w:p>
            <w:pPr>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5</w:t>
            </w:r>
          </w:p>
        </w:tc>
        <w:tc>
          <w:tcPr>
            <w:tcW w:w="3220" w:type="pct"/>
            <w:tcBorders>
              <w:top w:val="single" w:color="auto" w:sz="4" w:space="0"/>
              <w:left w:val="nil"/>
              <w:bottom w:val="single" w:color="auto" w:sz="4" w:space="0"/>
              <w:right w:val="single" w:color="auto" w:sz="4" w:space="0"/>
            </w:tcBorders>
            <w:vAlign w:val="center"/>
          </w:tcPr>
          <w:p>
            <w:pPr>
              <w:rPr>
                <w:color w:val="000000" w:themeColor="text1"/>
                <w:szCs w:val="18"/>
                <w14:textFill>
                  <w14:solidFill>
                    <w14:schemeClr w14:val="tx1"/>
                  </w14:solidFill>
                </w14:textFill>
              </w:rPr>
            </w:pPr>
            <w:r>
              <w:rPr>
                <w:color w:val="000000" w:themeColor="text1"/>
                <w:szCs w:val="18"/>
                <w14:textFill>
                  <w14:solidFill>
                    <w14:schemeClr w14:val="tx1"/>
                  </w14:solidFill>
                </w14:textFill>
              </w:rPr>
              <w:t>1、拟投LED显示屏视网膜蓝光危害检测为蓝光无危害，提供CNAS、CMA、MRA认可的检测报告，提供复印件加盖供应商公章得</w:t>
            </w:r>
            <w:r>
              <w:rPr>
                <w:rFonts w:hint="eastAsia"/>
                <w:color w:val="000000" w:themeColor="text1"/>
                <w:szCs w:val="18"/>
                <w14:textFill>
                  <w14:solidFill>
                    <w14:schemeClr w14:val="tx1"/>
                  </w14:solidFill>
                </w14:textFill>
              </w:rPr>
              <w:t>2</w:t>
            </w:r>
            <w:r>
              <w:rPr>
                <w:color w:val="000000" w:themeColor="text1"/>
                <w:szCs w:val="18"/>
                <w14:textFill>
                  <w14:solidFill>
                    <w14:schemeClr w14:val="tx1"/>
                  </w14:solidFill>
                </w14:textFill>
              </w:rPr>
              <w:t>分，未提供或提供不全的不得分。</w:t>
            </w:r>
          </w:p>
          <w:p>
            <w:pPr>
              <w:rPr>
                <w:color w:val="000000" w:themeColor="text1"/>
                <w:szCs w:val="18"/>
                <w14:textFill>
                  <w14:solidFill>
                    <w14:schemeClr w14:val="tx1"/>
                  </w14:solidFill>
                </w14:textFill>
              </w:rPr>
            </w:pPr>
            <w:r>
              <w:rPr>
                <w:color w:val="000000" w:themeColor="text1"/>
                <w:szCs w:val="18"/>
                <w14:textFill>
                  <w14:solidFill>
                    <w14:schemeClr w14:val="tx1"/>
                  </w14:solidFill>
                </w14:textFill>
              </w:rPr>
              <w:t>2、拟投LED产品通过CQC3158-2016中国节能产品认证、拟投产品通过GB/T24021-2001《中国环境标志（Ⅱ型）》产品认证，提供证书或第三方检测报告并加盖供应商公章得2分，未提供或提供不全的不得分。</w:t>
            </w:r>
          </w:p>
          <w:p>
            <w:pPr>
              <w:rPr>
                <w:color w:val="000000" w:themeColor="text1"/>
                <w:szCs w:val="18"/>
                <w14:textFill>
                  <w14:solidFill>
                    <w14:schemeClr w14:val="tx1"/>
                  </w14:solidFill>
                </w14:textFill>
              </w:rPr>
            </w:pPr>
            <w:r>
              <w:rPr>
                <w:color w:val="000000" w:themeColor="text1"/>
                <w:szCs w:val="18"/>
                <w14:textFill>
                  <w14:solidFill>
                    <w14:schemeClr w14:val="tx1"/>
                  </w14:solidFill>
                </w14:textFill>
              </w:rPr>
              <w:t>3、拟投LED产品符合CESI产品认证实施规则中的HDR的2.0要求和《超高清显示认证技术规范》，提供CESI认证证书并加盖供应商公章得1分，否则不得分。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2" w:type="pct"/>
            <w:vMerge w:val="continue"/>
            <w:vAlign w:val="center"/>
          </w:tcPr>
          <w:p>
            <w:pPr>
              <w:jc w:val="center"/>
              <w:rPr>
                <w:bCs/>
                <w:szCs w:val="18"/>
              </w:rPr>
            </w:pPr>
          </w:p>
        </w:tc>
        <w:tc>
          <w:tcPr>
            <w:tcW w:w="755" w:type="pct"/>
            <w:vAlign w:val="center"/>
          </w:tcPr>
          <w:p>
            <w:pPr>
              <w:snapToGrid w:val="0"/>
              <w:jc w:val="center"/>
              <w:rPr>
                <w:b/>
                <w:bCs/>
                <w:szCs w:val="18"/>
              </w:rPr>
            </w:pPr>
            <w:r>
              <w:rPr>
                <w:rFonts w:hint="eastAsia"/>
                <w:color w:val="000000" w:themeColor="text1"/>
                <w:szCs w:val="18"/>
                <w14:textFill>
                  <w14:solidFill>
                    <w14:schemeClr w14:val="tx1"/>
                  </w14:solidFill>
                </w14:textFill>
              </w:rPr>
              <w:t>实施方案</w:t>
            </w:r>
          </w:p>
        </w:tc>
        <w:tc>
          <w:tcPr>
            <w:tcW w:w="273" w:type="pct"/>
            <w:vAlign w:val="center"/>
          </w:tcPr>
          <w:p>
            <w:pPr>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8</w:t>
            </w:r>
          </w:p>
        </w:tc>
        <w:tc>
          <w:tcPr>
            <w:tcW w:w="3220" w:type="pct"/>
            <w:tcBorders>
              <w:top w:val="single" w:color="auto" w:sz="4" w:space="0"/>
              <w:left w:val="nil"/>
              <w:bottom w:val="single" w:color="auto" w:sz="4" w:space="0"/>
              <w:right w:val="single" w:color="auto" w:sz="4" w:space="0"/>
            </w:tcBorders>
            <w:vAlign w:val="center"/>
          </w:tcPr>
          <w:p>
            <w:pPr>
              <w:rPr>
                <w:bCs/>
              </w:rPr>
            </w:pPr>
            <w:r>
              <w:rPr>
                <w:rFonts w:hint="eastAsia"/>
                <w:bCs/>
              </w:rPr>
              <w:t>供应商提供的实施安装和调试方案切实可行、内容明确具体、可操作性强，得8分；</w:t>
            </w:r>
          </w:p>
          <w:p>
            <w:pPr>
              <w:rPr>
                <w:bCs/>
              </w:rPr>
            </w:pPr>
            <w:r>
              <w:rPr>
                <w:rFonts w:hint="eastAsia"/>
                <w:bCs/>
              </w:rPr>
              <w:t>实施安装和调试方案可行、内容明确具体、具备可操作性，得6分；</w:t>
            </w:r>
          </w:p>
          <w:p>
            <w:pPr>
              <w:rPr>
                <w:bCs/>
              </w:rPr>
            </w:pPr>
            <w:r>
              <w:rPr>
                <w:rFonts w:hint="eastAsia"/>
                <w:bCs/>
              </w:rPr>
              <w:t>实施方案简单易懂，基本能满足项目要求的得4分；</w:t>
            </w:r>
          </w:p>
          <w:p>
            <w:pPr>
              <w:rPr>
                <w:bCs/>
              </w:rPr>
            </w:pPr>
            <w:r>
              <w:rPr>
                <w:rFonts w:hint="eastAsia"/>
                <w:bCs/>
              </w:rPr>
              <w:t>方案有较多欠缺的得1分；</w:t>
            </w:r>
          </w:p>
          <w:p>
            <w:pPr>
              <w:rPr>
                <w:szCs w:val="18"/>
              </w:rPr>
            </w:pPr>
            <w:r>
              <w:rPr>
                <w:rFonts w:hint="eastAsia"/>
                <w:bCs/>
              </w:rPr>
              <w:t>未提供方案的得0分。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2" w:type="pct"/>
            <w:vMerge w:val="continue"/>
            <w:vAlign w:val="center"/>
          </w:tcPr>
          <w:p>
            <w:pPr>
              <w:jc w:val="center"/>
              <w:rPr>
                <w:bCs/>
                <w:szCs w:val="18"/>
              </w:rPr>
            </w:pPr>
          </w:p>
        </w:tc>
        <w:tc>
          <w:tcPr>
            <w:tcW w:w="755" w:type="pct"/>
            <w:vAlign w:val="center"/>
          </w:tcPr>
          <w:p>
            <w:pPr>
              <w:snapToGrid w:val="0"/>
              <w:jc w:val="center"/>
              <w:rPr>
                <w:color w:val="000000" w:themeColor="text1"/>
                <w:szCs w:val="18"/>
                <w14:textFill>
                  <w14:solidFill>
                    <w14:schemeClr w14:val="tx1"/>
                  </w14:solidFill>
                </w14:textFill>
              </w:rPr>
            </w:pPr>
            <w:r>
              <w:rPr>
                <w:rFonts w:hint="eastAsia"/>
              </w:rPr>
              <w:t>培训方案</w:t>
            </w:r>
          </w:p>
        </w:tc>
        <w:tc>
          <w:tcPr>
            <w:tcW w:w="273" w:type="pct"/>
            <w:vAlign w:val="center"/>
          </w:tcPr>
          <w:p>
            <w:pPr>
              <w:snapToGrid w:val="0"/>
              <w:jc w:val="center"/>
              <w:rPr>
                <w:color w:val="000000" w:themeColor="text1"/>
                <w:szCs w:val="18"/>
                <w14:textFill>
                  <w14:solidFill>
                    <w14:schemeClr w14:val="tx1"/>
                  </w14:solidFill>
                </w14:textFill>
              </w:rPr>
            </w:pPr>
            <w:r>
              <w:rPr>
                <w:rFonts w:hint="eastAsia"/>
              </w:rPr>
              <w:t>2</w:t>
            </w:r>
          </w:p>
        </w:tc>
        <w:tc>
          <w:tcPr>
            <w:tcW w:w="3220" w:type="pct"/>
            <w:tcBorders>
              <w:top w:val="single" w:color="auto" w:sz="4" w:space="0"/>
              <w:left w:val="nil"/>
              <w:bottom w:val="single" w:color="auto" w:sz="4" w:space="0"/>
              <w:right w:val="single" w:color="auto" w:sz="4" w:space="0"/>
            </w:tcBorders>
            <w:vAlign w:val="center"/>
          </w:tcPr>
          <w:p>
            <w:pPr>
              <w:rPr>
                <w:bCs/>
              </w:rPr>
            </w:pPr>
            <w:r>
              <w:rPr>
                <w:rFonts w:hint="eastAsia"/>
                <w:bCs/>
              </w:rPr>
              <w:t>根据供应商针对产品的使用、维护培训方案进行评审：</w:t>
            </w:r>
          </w:p>
          <w:p>
            <w:r>
              <w:rPr>
                <w:rFonts w:hint="eastAsia"/>
              </w:rPr>
              <w:t>培训内容明确、具体、有明确的时间安排、人员安排计划、满足使用需求得2分；</w:t>
            </w:r>
          </w:p>
          <w:p>
            <w:r>
              <w:rPr>
                <w:rFonts w:hint="eastAsia"/>
              </w:rPr>
              <w:t>有培训计划但培训内容不够具体或时间安排不具体或不完全满足使用要求得1分；</w:t>
            </w:r>
          </w:p>
          <w:p>
            <w:pPr>
              <w:rPr>
                <w:bCs/>
              </w:rPr>
            </w:pPr>
            <w:r>
              <w:rPr>
                <w:rFonts w:hint="eastAsi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2" w:type="pct"/>
            <w:vMerge w:val="continue"/>
            <w:vAlign w:val="center"/>
          </w:tcPr>
          <w:p>
            <w:pPr>
              <w:rPr>
                <w:szCs w:val="18"/>
              </w:rPr>
            </w:pPr>
          </w:p>
        </w:tc>
        <w:tc>
          <w:tcPr>
            <w:tcW w:w="755" w:type="pct"/>
            <w:vMerge w:val="restart"/>
            <w:vAlign w:val="center"/>
          </w:tcPr>
          <w:p>
            <w:pPr>
              <w:snapToGrid w:val="0"/>
              <w:jc w:val="center"/>
              <w:rPr>
                <w:szCs w:val="18"/>
              </w:rPr>
            </w:pPr>
            <w:r>
              <w:rPr>
                <w:rFonts w:hint="eastAsia"/>
                <w:color w:val="000000" w:themeColor="text1"/>
                <w:szCs w:val="18"/>
                <w14:textFill>
                  <w14:solidFill>
                    <w14:schemeClr w14:val="tx1"/>
                  </w14:solidFill>
                </w14:textFill>
              </w:rPr>
              <w:t>售后服务</w:t>
            </w:r>
          </w:p>
        </w:tc>
        <w:tc>
          <w:tcPr>
            <w:tcW w:w="273" w:type="pct"/>
            <w:vAlign w:val="center"/>
          </w:tcPr>
          <w:p>
            <w:pPr>
              <w:rPr>
                <w:szCs w:val="18"/>
              </w:rPr>
            </w:pPr>
            <w:r>
              <w:rPr>
                <w:color w:val="000000" w:themeColor="text1"/>
                <w:szCs w:val="18"/>
                <w14:textFill>
                  <w14:solidFill>
                    <w14:schemeClr w14:val="tx1"/>
                  </w14:solidFill>
                </w14:textFill>
              </w:rPr>
              <w:t>2</w:t>
            </w:r>
          </w:p>
        </w:tc>
        <w:tc>
          <w:tcPr>
            <w:tcW w:w="3220" w:type="pct"/>
            <w:tcBorders>
              <w:top w:val="single" w:color="auto" w:sz="4" w:space="0"/>
              <w:left w:val="nil"/>
              <w:bottom w:val="single" w:color="auto" w:sz="4" w:space="0"/>
              <w:right w:val="single" w:color="auto" w:sz="4" w:space="0"/>
            </w:tcBorders>
            <w:vAlign w:val="center"/>
          </w:tcPr>
          <w:p>
            <w:pPr>
              <w:rPr>
                <w:szCs w:val="18"/>
              </w:rPr>
            </w:pPr>
            <w:r>
              <w:rPr>
                <w:szCs w:val="18"/>
              </w:rPr>
              <w:t>提供LED显示屏制造商出具的原厂售后服务承诺函。内容需包括但不限于：质保年限、响应时间、原厂工程师服务。提供得2分，不提供得0分；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2" w:type="pct"/>
            <w:vMerge w:val="continue"/>
            <w:vAlign w:val="center"/>
          </w:tcPr>
          <w:p>
            <w:pPr>
              <w:snapToGrid w:val="0"/>
              <w:jc w:val="center"/>
              <w:rPr>
                <w:color w:val="000000" w:themeColor="text1"/>
                <w:szCs w:val="18"/>
                <w14:textFill>
                  <w14:solidFill>
                    <w14:schemeClr w14:val="tx1"/>
                  </w14:solidFill>
                </w14:textFill>
              </w:rPr>
            </w:pPr>
          </w:p>
        </w:tc>
        <w:tc>
          <w:tcPr>
            <w:tcW w:w="755" w:type="pct"/>
            <w:vMerge w:val="continue"/>
            <w:vAlign w:val="center"/>
          </w:tcPr>
          <w:p>
            <w:pPr>
              <w:snapToGrid w:val="0"/>
              <w:jc w:val="center"/>
              <w:rPr>
                <w:color w:val="000000" w:themeColor="text1"/>
                <w:szCs w:val="18"/>
                <w14:textFill>
                  <w14:solidFill>
                    <w14:schemeClr w14:val="tx1"/>
                  </w14:solidFill>
                </w14:textFill>
              </w:rPr>
            </w:pPr>
          </w:p>
        </w:tc>
        <w:tc>
          <w:tcPr>
            <w:tcW w:w="273" w:type="pct"/>
            <w:vAlign w:val="center"/>
          </w:tcPr>
          <w:p>
            <w:pPr>
              <w:snapToGrid w:val="0"/>
              <w:jc w:val="center"/>
              <w:rPr>
                <w:color w:val="000000" w:themeColor="text1"/>
                <w:szCs w:val="18"/>
                <w14:textFill>
                  <w14:solidFill>
                    <w14:schemeClr w14:val="tx1"/>
                  </w14:solidFill>
                </w14:textFill>
              </w:rPr>
            </w:pPr>
            <w:r>
              <w:rPr>
                <w:rFonts w:hint="eastAsia"/>
                <w:szCs w:val="18"/>
              </w:rPr>
              <w:t>3</w:t>
            </w:r>
          </w:p>
        </w:tc>
        <w:tc>
          <w:tcPr>
            <w:tcW w:w="3220" w:type="pct"/>
            <w:tcBorders>
              <w:top w:val="single" w:color="auto" w:sz="4" w:space="0"/>
              <w:left w:val="nil"/>
              <w:bottom w:val="single" w:color="auto" w:sz="4" w:space="0"/>
              <w:right w:val="single" w:color="auto" w:sz="4" w:space="0"/>
            </w:tcBorders>
            <w:vAlign w:val="center"/>
          </w:tcPr>
          <w:p>
            <w:pPr>
              <w:rPr>
                <w:szCs w:val="18"/>
              </w:rPr>
            </w:pPr>
            <w:r>
              <w:rPr>
                <w:rFonts w:hint="eastAsia"/>
              </w:rPr>
              <w:t>依据供应商所提供的售后服务方案、突发事件时的应急预案及人员、设备保障等应急保障和违约处罚措施进行独立评审。内容详尽，完全满足项目需要，科学、合理、针对性强的得</w:t>
            </w:r>
            <w:r>
              <w:t>3</w:t>
            </w:r>
            <w:r>
              <w:rPr>
                <w:rFonts w:hint="eastAsia"/>
              </w:rPr>
              <w:t>分；内容完整，满足项目需要，基本可行得</w:t>
            </w:r>
            <w:r>
              <w:t>2</w:t>
            </w:r>
            <w:r>
              <w:rPr>
                <w:rFonts w:hint="eastAsia"/>
              </w:rPr>
              <w:t>分；内容有欠缺，基本满足项目需要，可行性不足的得1分；方案不可行或未提供的得0分。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4"/>
            <w:tcBorders>
              <w:right w:val="single" w:color="auto" w:sz="4" w:space="0"/>
            </w:tcBorders>
            <w:vAlign w:val="center"/>
          </w:tcPr>
          <w:p>
            <w:pPr>
              <w:jc w:val="center"/>
              <w:rPr>
                <w:szCs w:val="18"/>
              </w:rPr>
            </w:pPr>
            <w:r>
              <w:rPr>
                <w:rFonts w:hint="eastAsia"/>
                <w:color w:val="000000" w:themeColor="text1"/>
                <w:szCs w:val="18"/>
                <w14:textFill>
                  <w14:solidFill>
                    <w14:schemeClr w14:val="tx1"/>
                  </w14:solidFill>
                </w14:textFill>
              </w:rPr>
              <w:t>总计（100分）</w:t>
            </w:r>
          </w:p>
        </w:tc>
      </w:tr>
    </w:tbl>
    <w:p/>
    <w:sectPr>
      <w:pgSz w:w="11906" w:h="16838"/>
      <w:pgMar w:top="1440" w:right="1800" w:bottom="1440" w:left="1800" w:header="851" w:footer="992" w:gutter="0"/>
      <w:pgBorders w:offsetFrom="page">
        <w:top w:val="single" w:color="auto" w:sz="4" w:space="24"/>
        <w:left w:val="single" w:color="auto" w:sz="4" w:space="24"/>
        <w:bottom w:val="single" w:color="auto" w:sz="4" w:space="24"/>
        <w:right w:val="single" w:color="auto" w:sz="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B614B"/>
    <w:multiLevelType w:val="multilevel"/>
    <w:tmpl w:val="083B614B"/>
    <w:lvl w:ilvl="0" w:tentative="0">
      <w:start w:val="1"/>
      <w:numFmt w:val="decimal"/>
      <w:lvlText w:val="%1."/>
      <w:lvlJc w:val="left"/>
      <w:pPr>
        <w:ind w:left="425" w:hanging="425"/>
      </w:pPr>
      <w:rPr>
        <w:rFonts w:ascii="宋体" w:hAnsi="宋体" w:eastAsia="宋体" w:cstheme="minorBidi"/>
      </w:rPr>
    </w:lvl>
    <w:lvl w:ilvl="1" w:tentative="0">
      <w:start w:val="1"/>
      <w:numFmt w:val="decimal"/>
      <w:lvlText w:val="%1.%2."/>
      <w:lvlJc w:val="left"/>
      <w:pPr>
        <w:ind w:left="567" w:hanging="567"/>
      </w:p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25957550"/>
    <w:multiLevelType w:val="multilevel"/>
    <w:tmpl w:val="25957550"/>
    <w:lvl w:ilvl="0" w:tentative="0">
      <w:start w:val="1"/>
      <w:numFmt w:val="decimal"/>
      <w:lvlText w:val="%1."/>
      <w:lvlJc w:val="left"/>
      <w:pPr>
        <w:ind w:left="425" w:hanging="425"/>
      </w:pPr>
      <w:rPr>
        <w:rFonts w:ascii="宋体" w:hAnsi="宋体" w:eastAsia="宋体" w:cstheme="minorBidi"/>
      </w:rPr>
    </w:lvl>
    <w:lvl w:ilvl="1" w:tentative="0">
      <w:start w:val="1"/>
      <w:numFmt w:val="decimal"/>
      <w:lvlText w:val="%1.%2."/>
      <w:lvlJc w:val="left"/>
      <w:pPr>
        <w:ind w:left="567" w:hanging="567"/>
      </w:p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26D97E06"/>
    <w:multiLevelType w:val="multilevel"/>
    <w:tmpl w:val="26D97E06"/>
    <w:lvl w:ilvl="0" w:tentative="0">
      <w:start w:val="1"/>
      <w:numFmt w:val="decimal"/>
      <w:lvlText w:val="%1."/>
      <w:lvlJc w:val="left"/>
      <w:pPr>
        <w:ind w:left="425" w:hanging="425"/>
      </w:pPr>
      <w:rPr>
        <w:rFonts w:ascii="宋体" w:hAnsi="宋体" w:eastAsia="宋体" w:cstheme="minorBidi"/>
      </w:rPr>
    </w:lvl>
    <w:lvl w:ilvl="1" w:tentative="0">
      <w:start w:val="1"/>
      <w:numFmt w:val="decimal"/>
      <w:lvlText w:val="%1.%2."/>
      <w:lvlJc w:val="left"/>
      <w:pPr>
        <w:ind w:left="567" w:hanging="567"/>
      </w:p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1MDk4NTBlYmQ5MDAzNDEyZjRjYTZhZWNjMTY0MDgifQ=="/>
  </w:docVars>
  <w:rsids>
    <w:rsidRoot w:val="00B836A5"/>
    <w:rsid w:val="0000238F"/>
    <w:rsid w:val="00021D77"/>
    <w:rsid w:val="000354B0"/>
    <w:rsid w:val="0006232B"/>
    <w:rsid w:val="0006489E"/>
    <w:rsid w:val="000A4554"/>
    <w:rsid w:val="000A7279"/>
    <w:rsid w:val="000E5945"/>
    <w:rsid w:val="00101544"/>
    <w:rsid w:val="00102338"/>
    <w:rsid w:val="00130B9A"/>
    <w:rsid w:val="00140567"/>
    <w:rsid w:val="00140DD4"/>
    <w:rsid w:val="00167EB0"/>
    <w:rsid w:val="001C04A0"/>
    <w:rsid w:val="001C414E"/>
    <w:rsid w:val="001D25A2"/>
    <w:rsid w:val="001D4B17"/>
    <w:rsid w:val="001E690B"/>
    <w:rsid w:val="001F02EA"/>
    <w:rsid w:val="001F0F46"/>
    <w:rsid w:val="00236867"/>
    <w:rsid w:val="002368C4"/>
    <w:rsid w:val="00236ADE"/>
    <w:rsid w:val="0026720D"/>
    <w:rsid w:val="00267988"/>
    <w:rsid w:val="00276E38"/>
    <w:rsid w:val="00287806"/>
    <w:rsid w:val="002973F7"/>
    <w:rsid w:val="002B36F2"/>
    <w:rsid w:val="002C18CB"/>
    <w:rsid w:val="002C482A"/>
    <w:rsid w:val="002F1D49"/>
    <w:rsid w:val="00307204"/>
    <w:rsid w:val="003564B0"/>
    <w:rsid w:val="00365E6B"/>
    <w:rsid w:val="0037381C"/>
    <w:rsid w:val="003C19C9"/>
    <w:rsid w:val="003D637F"/>
    <w:rsid w:val="003F74C9"/>
    <w:rsid w:val="00432C4F"/>
    <w:rsid w:val="00435720"/>
    <w:rsid w:val="00453084"/>
    <w:rsid w:val="00455550"/>
    <w:rsid w:val="004765B7"/>
    <w:rsid w:val="004A158C"/>
    <w:rsid w:val="004B0852"/>
    <w:rsid w:val="004F7584"/>
    <w:rsid w:val="00504D25"/>
    <w:rsid w:val="00520DD4"/>
    <w:rsid w:val="00546B6A"/>
    <w:rsid w:val="0055751C"/>
    <w:rsid w:val="00581AA9"/>
    <w:rsid w:val="005D409C"/>
    <w:rsid w:val="005D52E5"/>
    <w:rsid w:val="00601C99"/>
    <w:rsid w:val="00653633"/>
    <w:rsid w:val="00664216"/>
    <w:rsid w:val="00683025"/>
    <w:rsid w:val="00683F63"/>
    <w:rsid w:val="006A6D9B"/>
    <w:rsid w:val="006C7E5C"/>
    <w:rsid w:val="006D304C"/>
    <w:rsid w:val="006E6E15"/>
    <w:rsid w:val="00701292"/>
    <w:rsid w:val="00731BB9"/>
    <w:rsid w:val="00765E2B"/>
    <w:rsid w:val="00783F75"/>
    <w:rsid w:val="007A676A"/>
    <w:rsid w:val="007B1962"/>
    <w:rsid w:val="007C15D9"/>
    <w:rsid w:val="007F144A"/>
    <w:rsid w:val="00800651"/>
    <w:rsid w:val="00812F1D"/>
    <w:rsid w:val="0081744E"/>
    <w:rsid w:val="00817C01"/>
    <w:rsid w:val="0082512D"/>
    <w:rsid w:val="00833079"/>
    <w:rsid w:val="0086363E"/>
    <w:rsid w:val="0087130D"/>
    <w:rsid w:val="0087783C"/>
    <w:rsid w:val="00880629"/>
    <w:rsid w:val="008836CE"/>
    <w:rsid w:val="00894943"/>
    <w:rsid w:val="008A7DF3"/>
    <w:rsid w:val="008D27FB"/>
    <w:rsid w:val="008F0DB5"/>
    <w:rsid w:val="009422AD"/>
    <w:rsid w:val="00946796"/>
    <w:rsid w:val="00952734"/>
    <w:rsid w:val="00954101"/>
    <w:rsid w:val="009808B1"/>
    <w:rsid w:val="009B2CF6"/>
    <w:rsid w:val="009D3160"/>
    <w:rsid w:val="009E6255"/>
    <w:rsid w:val="009E6713"/>
    <w:rsid w:val="009F4DAE"/>
    <w:rsid w:val="00A304B8"/>
    <w:rsid w:val="00A51B46"/>
    <w:rsid w:val="00A60E59"/>
    <w:rsid w:val="00A61667"/>
    <w:rsid w:val="00A641A7"/>
    <w:rsid w:val="00A754EA"/>
    <w:rsid w:val="00AB6137"/>
    <w:rsid w:val="00AB66AE"/>
    <w:rsid w:val="00AC508B"/>
    <w:rsid w:val="00AD1302"/>
    <w:rsid w:val="00B0379E"/>
    <w:rsid w:val="00B1057A"/>
    <w:rsid w:val="00B22611"/>
    <w:rsid w:val="00B33F06"/>
    <w:rsid w:val="00B53FFF"/>
    <w:rsid w:val="00B64D51"/>
    <w:rsid w:val="00B71006"/>
    <w:rsid w:val="00B7108E"/>
    <w:rsid w:val="00B836A5"/>
    <w:rsid w:val="00BC4FC3"/>
    <w:rsid w:val="00BF6EA6"/>
    <w:rsid w:val="00C214D1"/>
    <w:rsid w:val="00C215C5"/>
    <w:rsid w:val="00C22CF8"/>
    <w:rsid w:val="00C52A0D"/>
    <w:rsid w:val="00C559DA"/>
    <w:rsid w:val="00C561CA"/>
    <w:rsid w:val="00CB2377"/>
    <w:rsid w:val="00CC299A"/>
    <w:rsid w:val="00CD259A"/>
    <w:rsid w:val="00CE0DC1"/>
    <w:rsid w:val="00D41194"/>
    <w:rsid w:val="00D43A19"/>
    <w:rsid w:val="00D47650"/>
    <w:rsid w:val="00D6723D"/>
    <w:rsid w:val="00D96CD5"/>
    <w:rsid w:val="00DC2D78"/>
    <w:rsid w:val="00E04ED0"/>
    <w:rsid w:val="00E16C2B"/>
    <w:rsid w:val="00E3234C"/>
    <w:rsid w:val="00E42C0F"/>
    <w:rsid w:val="00E66D99"/>
    <w:rsid w:val="00E742CC"/>
    <w:rsid w:val="00EB000C"/>
    <w:rsid w:val="00EC5A90"/>
    <w:rsid w:val="00EE3981"/>
    <w:rsid w:val="00EF0BF0"/>
    <w:rsid w:val="00F042A8"/>
    <w:rsid w:val="00F07085"/>
    <w:rsid w:val="00F4350D"/>
    <w:rsid w:val="00F5540C"/>
    <w:rsid w:val="00F76953"/>
    <w:rsid w:val="00F818C8"/>
    <w:rsid w:val="00F933CC"/>
    <w:rsid w:val="00F966ED"/>
    <w:rsid w:val="00FB12C7"/>
    <w:rsid w:val="00FD22CD"/>
    <w:rsid w:val="13812DF3"/>
    <w:rsid w:val="389D5C44"/>
    <w:rsid w:val="653C5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13"/>
    <w:qFormat/>
    <w:uiPriority w:val="0"/>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beforeLines="50"/>
      <w:ind w:firstLine="420"/>
    </w:pPr>
  </w:style>
  <w:style w:type="paragraph" w:styleId="6">
    <w:name w:val="annotation text"/>
    <w:basedOn w:val="1"/>
    <w:link w:val="22"/>
    <w:qFormat/>
    <w:uiPriority w:val="0"/>
    <w:rPr>
      <w:rFonts w:ascii="Times New Roman" w:hAnsi="Times New Roman" w:cs="Times New Roman"/>
      <w:sz w:val="21"/>
      <w:szCs w:val="21"/>
    </w:rPr>
  </w:style>
  <w:style w:type="paragraph" w:styleId="7">
    <w:name w:val="footer"/>
    <w:basedOn w:val="1"/>
    <w:link w:val="20"/>
    <w:unhideWhenUsed/>
    <w:qFormat/>
    <w:uiPriority w:val="99"/>
    <w:pPr>
      <w:tabs>
        <w:tab w:val="center" w:pos="4153"/>
        <w:tab w:val="right" w:pos="8306"/>
      </w:tabs>
      <w:snapToGrid w:val="0"/>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pPr>
  </w:style>
  <w:style w:type="character" w:styleId="12">
    <w:name w:val="annotation reference"/>
    <w:basedOn w:val="11"/>
    <w:qFormat/>
    <w:uiPriority w:val="0"/>
    <w:rPr>
      <w:sz w:val="21"/>
      <w:szCs w:val="21"/>
    </w:rPr>
  </w:style>
  <w:style w:type="character" w:customStyle="1" w:styleId="13">
    <w:name w:val="标题 1 字符"/>
    <w:basedOn w:val="11"/>
    <w:link w:val="2"/>
    <w:qFormat/>
    <w:uiPriority w:val="0"/>
    <w:rPr>
      <w:b/>
      <w:bCs/>
      <w:kern w:val="44"/>
      <w:sz w:val="44"/>
      <w:szCs w:val="44"/>
    </w:rPr>
  </w:style>
  <w:style w:type="paragraph" w:styleId="14">
    <w:name w:val="List Paragraph"/>
    <w:basedOn w:val="1"/>
    <w:link w:val="15"/>
    <w:qFormat/>
    <w:uiPriority w:val="34"/>
    <w:pPr>
      <w:widowControl w:val="0"/>
      <w:ind w:firstLine="420" w:firstLineChars="200"/>
      <w:jc w:val="both"/>
    </w:pPr>
    <w:rPr>
      <w:rFonts w:ascii="Calibri" w:hAnsi="Calibri" w:cs="Times New Roman"/>
      <w:kern w:val="2"/>
      <w:sz w:val="21"/>
      <w:szCs w:val="20"/>
    </w:rPr>
  </w:style>
  <w:style w:type="character" w:customStyle="1" w:styleId="15">
    <w:name w:val="列表段落 字符"/>
    <w:link w:val="14"/>
    <w:qFormat/>
    <w:uiPriority w:val="0"/>
    <w:rPr>
      <w:rFonts w:ascii="Calibri" w:hAnsi="Calibri" w:eastAsia="宋体" w:cs="Times New Roman"/>
      <w:szCs w:val="20"/>
    </w:rPr>
  </w:style>
  <w:style w:type="character" w:customStyle="1" w:styleId="16">
    <w:name w:val="标题 2 字符"/>
    <w:basedOn w:val="11"/>
    <w:link w:val="3"/>
    <w:qFormat/>
    <w:uiPriority w:val="9"/>
    <w:rPr>
      <w:rFonts w:asciiTheme="majorHAnsi" w:hAnsiTheme="majorHAnsi" w:eastAsiaTheme="majorEastAsia" w:cstheme="majorBidi"/>
      <w:b/>
      <w:bCs/>
      <w:kern w:val="0"/>
      <w:sz w:val="32"/>
      <w:szCs w:val="32"/>
    </w:rPr>
  </w:style>
  <w:style w:type="character" w:customStyle="1" w:styleId="17">
    <w:name w:val="标题 3 字符"/>
    <w:basedOn w:val="11"/>
    <w:link w:val="4"/>
    <w:uiPriority w:val="9"/>
    <w:rPr>
      <w:rFonts w:ascii="宋体" w:hAnsi="宋体" w:eastAsia="宋体" w:cs="宋体"/>
      <w:b/>
      <w:bCs/>
      <w:kern w:val="0"/>
      <w:sz w:val="32"/>
      <w:szCs w:val="32"/>
    </w:rPr>
  </w:style>
  <w:style w:type="paragraph" w:styleId="18">
    <w:name w:val="No Spacing"/>
    <w:qFormat/>
    <w:uiPriority w:val="1"/>
    <w:pPr>
      <w:ind w:firstLine="200" w:firstLineChars="200"/>
    </w:pPr>
    <w:rPr>
      <w:rFonts w:cs="Times New Roman" w:asciiTheme="minorHAnsi" w:hAnsiTheme="minorHAnsi" w:eastAsiaTheme="minorEastAsia"/>
      <w:color w:val="000000" w:themeColor="text1"/>
      <w:kern w:val="0"/>
      <w:sz w:val="24"/>
      <w:szCs w:val="24"/>
      <w:lang w:val="en-US" w:eastAsia="zh-CN" w:bidi="ar-SA"/>
      <w14:textFill>
        <w14:solidFill>
          <w14:schemeClr w14:val="tx1"/>
        </w14:solidFill>
      </w14:textFill>
    </w:rPr>
  </w:style>
  <w:style w:type="character" w:customStyle="1" w:styleId="19">
    <w:name w:val="页眉 字符"/>
    <w:basedOn w:val="11"/>
    <w:link w:val="8"/>
    <w:uiPriority w:val="99"/>
    <w:rPr>
      <w:rFonts w:ascii="宋体" w:hAnsi="宋体" w:eastAsia="宋体" w:cs="宋体"/>
      <w:kern w:val="0"/>
      <w:sz w:val="18"/>
      <w:szCs w:val="18"/>
    </w:rPr>
  </w:style>
  <w:style w:type="character" w:customStyle="1" w:styleId="20">
    <w:name w:val="页脚 字符"/>
    <w:basedOn w:val="11"/>
    <w:link w:val="7"/>
    <w:uiPriority w:val="99"/>
    <w:rPr>
      <w:rFonts w:ascii="宋体" w:hAnsi="宋体" w:eastAsia="宋体" w:cs="宋体"/>
      <w:kern w:val="0"/>
      <w:sz w:val="18"/>
      <w:szCs w:val="18"/>
    </w:rPr>
  </w:style>
  <w:style w:type="paragraph" w:customStyle="1" w:styleId="21">
    <w:name w:val="Item List"/>
    <w:qFormat/>
    <w:uiPriority w:val="0"/>
    <w:pPr>
      <w:tabs>
        <w:tab w:val="left" w:pos="432"/>
        <w:tab w:val="left" w:pos="2126"/>
      </w:tabs>
      <w:adjustRightInd w:val="0"/>
      <w:snapToGrid w:val="0"/>
      <w:spacing w:before="80" w:after="80" w:line="240" w:lineRule="atLeast"/>
      <w:ind w:left="432" w:hanging="432"/>
    </w:pPr>
    <w:rPr>
      <w:rFonts w:hint="eastAsia" w:ascii="Times New Roman" w:hAnsi="Times New Roman" w:eastAsia="宋体" w:cs="Arial"/>
      <w:kern w:val="2"/>
      <w:sz w:val="21"/>
      <w:szCs w:val="21"/>
      <w:lang w:val="en-US" w:eastAsia="zh-CN" w:bidi="ar-SA"/>
    </w:rPr>
  </w:style>
  <w:style w:type="character" w:customStyle="1" w:styleId="22">
    <w:name w:val="批注文字 字符"/>
    <w:basedOn w:val="11"/>
    <w:link w:val="6"/>
    <w:qFormat/>
    <w:uiPriority w:val="0"/>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039E2-6C5A-1443-8EBD-BCB9C77EF86E}">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5839</Words>
  <Characters>6655</Characters>
  <Lines>52</Lines>
  <Paragraphs>14</Paragraphs>
  <TotalTime>22</TotalTime>
  <ScaleCrop>false</ScaleCrop>
  <LinksUpToDate>false</LinksUpToDate>
  <CharactersWithSpaces>6814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2022-02-09T08:16:00Z</dcterms:created>
  <dc:creator>A8088</dc:creator>
  <cp:lastModifiedBy>龙玉玲</cp:lastModifiedBy>
  <dcterms:modified xsi:type="dcterms:W3CDTF">2023-05-09T02:00:21Z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483F9F33F9004C589E332A24F3F3590A_12</vt:lpwstr>
  </property>
</Properties>
</file>